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spacing w:after="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spacing w:after="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tabs>
                <w:tab w:val="center" w:leader="none" w:pos="4252"/>
                <w:tab w:val="right" w:leader="none" w:pos="8504"/>
              </w:tabs>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tabs>
                <w:tab w:val="center" w:leader="none" w:pos="4252"/>
                <w:tab w:val="right" w:leader="none" w:pos="8504"/>
              </w:tabs>
              <w:spacing w:after="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ABERTURA DE MATRÍCULA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ARTIGOS 176 E 225 DA LEI Nº 6.015/73 (LEI DE REGISTROS PÚBLICOS) E ARTIGOS DO CÓDIGO DE NORMAS E SERVIÇOS NOTARIAIS E DE REGISTRO DO ESTADO DO PARÁ (TJPA); CÓDIGO NACIONAL DE NORMAS DA CORREGEDORIA NACIONAL DE JUSTIÇA DO CONSELHO NACIONAL DE JUSTIÇA -  FORO EXTRAJUDICIAL (CNN/CN/CNJ-EXTRA)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Conceito: Este checklist tem o objetivo de orientar o cliente sobre os documentos necessários para o pedido de abertura de matrícula.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 II; art. 222; art. 221, inc.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inc. II c/c art. 210 do Provimento nº 149/2023 do CNJ e Provimento nº 180/2024 do CNJ</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w:t>
            </w:r>
            <w:r w:rsidDel="00000000" w:rsidR="00000000" w:rsidRPr="00000000">
              <w:rPr>
                <w:rFonts w:ascii="Arial" w:cs="Arial" w:eastAsia="Arial" w:hAnsi="Arial"/>
                <w:sz w:val="20"/>
                <w:szCs w:val="20"/>
                <w:rtl w:val="0"/>
              </w:rPr>
              <w:t xml:space="preserve">eletrônica</w:t>
            </w:r>
            <w:r w:rsidDel="00000000" w:rsidR="00000000" w:rsidRPr="00000000">
              <w:rPr>
                <w:rFonts w:ascii="Arial" w:cs="Arial" w:eastAsia="Arial" w:hAnsi="Arial"/>
                <w:sz w:val="20"/>
                <w:szCs w:val="20"/>
                <w:rtl w:val="0"/>
              </w:rPr>
              <w:t xml:space="preserve">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3">
            <w:pPr>
              <w:spacing w:after="0" w:lineRule="auto"/>
              <w:jc w:val="both"/>
              <w:rPr>
                <w:rFonts w:ascii="Arial" w:cs="Arial" w:eastAsia="Arial" w:hAnsi="Arial"/>
                <w:sz w:val="16"/>
                <w:szCs w:val="16"/>
              </w:rPr>
            </w:pPr>
            <w:r w:rsidDel="00000000" w:rsidR="00000000" w:rsidRPr="00000000">
              <w:rPr>
                <w:rFonts w:ascii="Arial" w:cs="Arial" w:eastAsia="Arial" w:hAnsi="Arial"/>
                <w:i w:val="1"/>
                <w:iCs w:val="1"/>
                <w:sz w:val="16"/>
                <w:szCs w:val="16"/>
                <w:rtl w:val="0"/>
              </w:rPr>
              <w:t xml:space="preserve">Fundamentação: art. 176, §1º, item 4, alínea b, da Lei n. 6.015/1973; art. 661, §1º, do Código Civil.</w:t>
            </w:r>
            <w:r w:rsidDel="00000000" w:rsidR="00000000" w:rsidRPr="00000000">
              <w:rPr>
                <w:rtl w:val="0"/>
              </w:rPr>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5">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B">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w:t>
            </w:r>
            <w:r w:rsidDel="00000000" w:rsidR="00000000" w:rsidRPr="00000000">
              <w:rPr>
                <w:rFonts w:ascii="Arial" w:cs="Arial" w:eastAsia="Arial" w:hAnsi="Arial"/>
                <w:sz w:val="20"/>
                <w:szCs w:val="20"/>
                <w:rtl w:val="0"/>
              </w:rPr>
              <w:t xml:space="preserve">eletrônica</w:t>
            </w:r>
            <w:r w:rsidDel="00000000" w:rsidR="00000000" w:rsidRPr="00000000">
              <w:rPr>
                <w:rFonts w:ascii="Arial" w:cs="Arial" w:eastAsia="Arial" w:hAnsi="Arial"/>
                <w:sz w:val="20"/>
                <w:szCs w:val="20"/>
                <w:rtl w:val="0"/>
              </w:rPr>
              <w:t xml:space="preserve">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2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rHeight w:val="772.119140625" w:hRule="atLeast"/>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w:t>
            </w:r>
            <w:r w:rsidDel="00000000" w:rsidR="00000000" w:rsidRPr="00000000">
              <w:rPr>
                <w:rFonts w:ascii="Arial" w:cs="Arial" w:eastAsia="Arial" w:hAnsi="Arial"/>
                <w:b w:val="1"/>
                <w:bCs w:val="1"/>
                <w:sz w:val="20"/>
                <w:szCs w:val="20"/>
                <w:rtl w:val="0"/>
              </w:rPr>
              <w:t xml:space="preserve">(30 dias)</w:t>
            </w:r>
            <w:r w:rsidDel="00000000" w:rsidR="00000000" w:rsidRPr="00000000">
              <w:rPr>
                <w:rFonts w:ascii="Arial" w:cs="Arial" w:eastAsia="Arial" w:hAnsi="Arial"/>
                <w:sz w:val="20"/>
                <w:szCs w:val="20"/>
                <w:rtl w:val="0"/>
              </w:rPr>
              <w:t xml:space="preserve">,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Certidões Negativas de Buscas expedidas pelos demais Ofícios de Registro de Imóveis de Belém e/ou de Ananindeua.</w:t>
            </w:r>
          </w:p>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818 do Código de Normas do Pará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 certidões têm a finalidade de comprovar que não há matrícula previamente aberta para o imóvel em outros cartórios da circunscrição. Ressalta-se que este 2º Ofício de Registro de Imóveis realizará, também, busca interna em seus próprios livros e sistemas, a fim de verificar se já existe matrícula aberta para o imóvel nesta serventia.</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solicitado pelo site, selecione a opção Certidão Digital e escolha o tipo </w:t>
            </w:r>
            <w:r w:rsidDel="00000000" w:rsidR="00000000" w:rsidRPr="00000000">
              <w:rPr>
                <w:rFonts w:ascii="Arial" w:cs="Arial" w:eastAsia="Arial" w:hAnsi="Arial"/>
                <w:b w:val="1"/>
                <w:bCs w:val="1"/>
                <w:sz w:val="20"/>
                <w:szCs w:val="20"/>
                <w:rtl w:val="0"/>
              </w:rPr>
              <w:t xml:space="preserve">Certidão Positiva/Negativa de Propriedade</w:t>
            </w:r>
            <w:r w:rsidDel="00000000" w:rsidR="00000000" w:rsidRPr="00000000">
              <w:rPr>
                <w:rFonts w:ascii="Arial" w:cs="Arial" w:eastAsia="Arial" w:hAnsi="Arial"/>
                <w:sz w:val="20"/>
                <w:szCs w:val="20"/>
                <w:rtl w:val="0"/>
              </w:rPr>
              <w:t xml:space="preserv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8">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6">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9">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B">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C">
            <w:pPr>
              <w:spacing w:after="0" w:lineRule="auto"/>
              <w:jc w:val="both"/>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de abertura da matrícula,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bl>
    <w:p w:rsidR="00000000" w:rsidDel="00000000" w:rsidP="00000000" w:rsidRDefault="00000000" w:rsidRPr="00000000" w14:paraId="0000005B">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 6.015/1973).</w:t>
      </w:r>
    </w:p>
    <w:p w:rsidR="00000000" w:rsidDel="00000000" w:rsidP="00000000" w:rsidRDefault="00000000" w:rsidRPr="00000000" w14:paraId="00000062">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286205911"/>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0"/>
              <w:trHeight w:val="340.1574803149606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para o Qr Code e </w:t>
                </w:r>
              </w:p>
              <w:p w:rsidR="00000000" w:rsidDel="00000000" w:rsidP="00000000" w:rsidRDefault="00000000" w:rsidRPr="00000000" w14:paraId="0000007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 site do 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5"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5">
      <w:pPr>
        <w:jc w:val="both"/>
        <w:rPr>
          <w:rFonts w:ascii="Arial" w:cs="Arial" w:eastAsia="Arial" w:hAnsi="Arial"/>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247036</wp:posOffset>
          </wp:positionV>
          <wp:extent cx="1514475" cy="492586"/>
          <wp:effectExtent b="0" l="0" r="0" t="0"/>
          <wp:wrapNone/>
          <wp:docPr id="14"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183204445"/>
      <w:tag w:val="goog_rdk_1"/>
    </w:sdtPr>
    <w:sdtContent>
      <w:tbl>
        <w:tblPr>
          <w:tblStyle w:val="Table4"/>
          <w:tblpPr w:leftFromText="180" w:rightFromText="180" w:topFromText="180" w:bottomFromText="180" w:vertAnchor="text" w:horzAnchor="text" w:tblpX="0"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7">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8">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9">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A">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D">
              <w:pPr>
                <w:widowControl w:val="0"/>
                <w:spacing w:after="0" w:line="276" w:lineRule="auto"/>
                <w:rPr>
                  <w:rFonts w:ascii="Arial" w:cs="Arial" w:eastAsia="Arial" w:hAnsi="Arial"/>
                  <w:sz w:val="20"/>
                  <w:szCs w:val="20"/>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E">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F">
              <w:pPr>
                <w:widowControl w:val="0"/>
                <w:spacing w:after="0" w:line="276" w:lineRule="auto"/>
                <w:rPr>
                  <w:rFonts w:ascii="Arial" w:cs="Arial" w:eastAsia="Arial" w:hAnsi="Arial"/>
                  <w:b w:val="1"/>
                  <w:bCs w:val="1"/>
                  <w:smallCaps w:val="1"/>
                  <w:sz w:val="28"/>
                  <w:szCs w:val="28"/>
                </w:rPr>
              </w:pPr>
              <w:r w:rsidDel="00000000" w:rsidR="00000000" w:rsidRPr="00000000">
                <w:rPr>
                  <w:rtl w:val="0"/>
                </w:rPr>
              </w:r>
            </w:p>
          </w:tc>
        </w:tr>
      </w:tbl>
    </w:sdtContent>
  </w:sdt>
  <w:p w:rsidR="00000000" w:rsidDel="00000000" w:rsidP="00000000" w:rsidRDefault="00000000" w:rsidRPr="00000000" w14:paraId="00000080">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UVzJ27N84VEZ9Bq0nfgCxUDk0Q==">CgMxLjAaHwoBMBIaChgICVIUChJ0YWJsZS53bDBzbzVucDE1N3EaHwoBMRIaChgICVIUChJ0YWJsZS41eTA1cmY2bDcxZGc4AHIhMVBVbVNRekNoTzNxTHBXRTFrSUxWZTBDOHZ4Ujh1WGo0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