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spacing w:after="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spacing w:after="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tabs>
                <w:tab w:val="center" w:leader="none" w:pos="4252"/>
                <w:tab w:val="right" w:leader="none" w:pos="8504"/>
              </w:tabs>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tabs>
                <w:tab w:val="center" w:leader="none" w:pos="4252"/>
                <w:tab w:val="right" w:leader="none" w:pos="8504"/>
              </w:tabs>
              <w:spacing w:after="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bookmarkStart w:colFirst="0" w:colLast="0" w:name="_heading=h.k7gtiuf3efd1" w:id="0"/>
      <w:bookmarkEnd w:id="0"/>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ALTERAÇÃO DA RAZÃO SOCIAL</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ARTIGO 167, II C/C ARTIGO 246 DA LEI Nº 6.015/1973 (LEI DE REGISTROS PÚBLICOS)</w:t>
      </w:r>
    </w:p>
    <w:p w:rsidR="00000000" w:rsidDel="00000000" w:rsidP="00000000" w:rsidRDefault="00000000" w:rsidRPr="00000000" w14:paraId="00000012">
      <w:pPr>
        <w:spacing w:after="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Conceito: Trata-se da atualização formal na matrícula do imóvel quando a empresa proprietária altera sua denominação social, mas mantém a mesma natureza jurídica e CNPJ. </w:t>
      </w:r>
    </w:p>
    <w:p w:rsidR="00000000" w:rsidDel="00000000" w:rsidP="00000000" w:rsidRDefault="00000000" w:rsidRPr="00000000" w14:paraId="00000013">
      <w:pPr>
        <w:spacing w:after="0" w:lineRule="auto"/>
        <w:jc w:val="both"/>
        <w:rPr>
          <w:rFonts w:ascii="Arial" w:cs="Arial" w:eastAsia="Arial" w:hAnsi="Arial"/>
          <w:sz w:val="20"/>
          <w:szCs w:val="20"/>
        </w:rPr>
      </w:pPr>
      <w:r w:rsidDel="00000000" w:rsidR="00000000" w:rsidRPr="00000000">
        <w:rPr>
          <w:rFonts w:ascii="Arial" w:cs="Arial" w:eastAsia="Arial" w:hAnsi="Arial"/>
          <w:sz w:val="18"/>
          <w:szCs w:val="18"/>
          <w:rtl w:val="0"/>
        </w:rPr>
        <w:t xml:space="preserve">Este checklist tem o objetivo de orientar o cliente sobre os documentos necessários para o pedido de alteração da razão social.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5">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7">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 art. 961 do Código de Normas do Pará</w:t>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C">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D">
            <w:pPr>
              <w:spacing w:after="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data de nascimento, domicílio ou residência, número de inscrição no Cadastro de Pessoas Físicas (CPF), número do documento oficial de identidade (RG) ou, na ausência deste, filiação.</w:t>
            </w:r>
          </w:p>
          <w:p w:rsidR="00000000" w:rsidDel="00000000" w:rsidP="00000000" w:rsidRDefault="00000000" w:rsidRPr="00000000" w14:paraId="0000002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5">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 6.015/1973; art. 661, §1º, do Código Civil</w:t>
            </w:r>
            <w:r w:rsidDel="00000000" w:rsidR="00000000" w:rsidRPr="00000000">
              <w:rPr>
                <w:rtl w:val="0"/>
              </w:rPr>
            </w:r>
          </w:p>
          <w:p w:rsidR="00000000" w:rsidDel="00000000" w:rsidP="00000000" w:rsidRDefault="00000000" w:rsidRPr="00000000" w14:paraId="00000026">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8">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D">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E">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w:t>
            </w:r>
            <w:r w:rsidDel="00000000" w:rsidR="00000000" w:rsidRPr="00000000">
              <w:rPr>
                <w:rFonts w:ascii="Arial" w:cs="Arial" w:eastAsia="Arial" w:hAnsi="Arial"/>
                <w:b w:val="1"/>
                <w:bCs w:val="1"/>
                <w:sz w:val="20"/>
                <w:szCs w:val="20"/>
                <w:rtl w:val="0"/>
              </w:rPr>
              <w:t xml:space="preserve"> (30 dias)</w:t>
            </w:r>
            <w:r w:rsidDel="00000000" w:rsidR="00000000" w:rsidRPr="00000000">
              <w:rPr>
                <w:rFonts w:ascii="Arial" w:cs="Arial" w:eastAsia="Arial" w:hAnsi="Arial"/>
                <w:sz w:val="20"/>
                <w:szCs w:val="20"/>
                <w:rtl w:val="0"/>
              </w:rPr>
              <w:t xml:space="preserve">,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38">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3B">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3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Contrato Social ou Estatuto Social da pessoa jurídica, acompanhado de todas as alterações posteriores, devidamente registrados na Junta Comercial, apresentados na</w:t>
            </w:r>
            <w:r w:rsidDel="00000000" w:rsidR="00000000" w:rsidRPr="00000000">
              <w:rPr>
                <w:rFonts w:ascii="Arial" w:cs="Arial" w:eastAsia="Arial" w:hAnsi="Arial"/>
                <w:b w:val="1"/>
                <w:bCs w:val="1"/>
                <w:sz w:val="20"/>
                <w:szCs w:val="20"/>
                <w:rtl w:val="0"/>
              </w:rPr>
              <w:t xml:space="preserve"> via original </w:t>
            </w:r>
            <w:r w:rsidDel="00000000" w:rsidR="00000000" w:rsidRPr="00000000">
              <w:rPr>
                <w:rFonts w:ascii="Arial" w:cs="Arial" w:eastAsia="Arial" w:hAnsi="Arial"/>
                <w:sz w:val="20"/>
                <w:szCs w:val="20"/>
                <w:rtl w:val="0"/>
              </w:rPr>
              <w:t xml:space="preserve">ou em </w:t>
            </w:r>
            <w:r w:rsidDel="00000000" w:rsidR="00000000" w:rsidRPr="00000000">
              <w:rPr>
                <w:rFonts w:ascii="Arial" w:cs="Arial" w:eastAsia="Arial" w:hAnsi="Arial"/>
                <w:b w:val="1"/>
                <w:bCs w:val="1"/>
                <w:sz w:val="20"/>
                <w:szCs w:val="20"/>
                <w:rtl w:val="0"/>
              </w:rPr>
              <w:t xml:space="preserve">cópia autenticada.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2">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da Lei nº 8.935/94</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Certifique-se de apresentar o contrato social/estatuto atualizado, incluindo todas as alterações contratuais registradas, para possibilitar a correta identificação da pessoa jurídica e de seus representantes legais no ato.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Certidão Simplificada da empresa, emitida pela Junta Comercial, com data de emissão de, no máximo,</w:t>
            </w:r>
            <w:r w:rsidDel="00000000" w:rsidR="00000000" w:rsidRPr="00000000">
              <w:rPr>
                <w:rFonts w:ascii="Arial" w:cs="Arial" w:eastAsia="Arial" w:hAnsi="Arial"/>
                <w:b w:val="1"/>
                <w:bCs w:val="1"/>
                <w:sz w:val="20"/>
                <w:szCs w:val="20"/>
                <w:rtl w:val="0"/>
              </w:rPr>
              <w:t xml:space="preserve"> 90 dias.</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estar atualizada e em nome da empresa, pois é utilizada para confirmar os dados cadastrais da pessoa jurídica e a representação legal vigente no momento da prática do ato.</w:t>
            </w:r>
          </w:p>
        </w:tc>
      </w:tr>
    </w:tbl>
    <w:p w:rsidR="00000000" w:rsidDel="00000000" w:rsidP="00000000" w:rsidRDefault="00000000" w:rsidRPr="00000000" w14:paraId="00000046">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4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4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4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4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 6.015/1973).</w:t>
      </w:r>
    </w:p>
    <w:p w:rsidR="00000000" w:rsidDel="00000000" w:rsidP="00000000" w:rsidRDefault="00000000" w:rsidRPr="00000000" w14:paraId="0000004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Pr>
        <w:drawing>
          <wp:anchor allowOverlap="1" behindDoc="0" distB="114300" distT="114300" distL="114300" distR="114300" hidden="0" layoutInCell="1" locked="0" relativeHeight="0" simplePos="0">
            <wp:simplePos x="0" y="0"/>
            <wp:positionH relativeFrom="page">
              <wp:posOffset>-72899</wp:posOffset>
            </wp:positionH>
            <wp:positionV relativeFrom="page">
              <wp:posOffset>9685809</wp:posOffset>
            </wp:positionV>
            <wp:extent cx="7850063" cy="432378"/>
            <wp:effectExtent b="0" l="0" r="0" t="0"/>
            <wp:wrapNone/>
            <wp:docPr id="1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850063" cy="432378"/>
                    </a:xfrm>
                    <a:prstGeom prst="rect"/>
                    <a:ln/>
                  </pic:spPr>
                </pic:pic>
              </a:graphicData>
            </a:graphic>
          </wp:anchor>
        </w:drawing>
      </w: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210520295"/>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D">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4E">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50">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2">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4">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56">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58">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5A">
                <w:pPr>
                  <w:widowControl w:val="0"/>
                  <w:spacing w:after="0" w:line="240" w:lineRule="auto"/>
                  <w:jc w:val="center"/>
                  <w:rPr>
                    <w:rFonts w:ascii="Arial" w:cs="Arial" w:eastAsia="Arial" w:hAnsi="Arial"/>
                    <w:b w:val="1"/>
                    <w:bCs w:val="1"/>
                    <w:sz w:val="18"/>
                    <w:szCs w:val="18"/>
                  </w:rPr>
                </w:pPr>
                <w:hyperlink r:id="rId16">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B">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5C">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5D">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5E">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tl w:val="0"/>
        </w:rPr>
      </w:r>
    </w:p>
    <w:sectPr>
      <w:headerReference r:id="rId18" w:type="default"/>
      <w:footerReference r:id="rId19"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spacing w:before="200" w:line="335.99999999999994" w:lineRule="auto"/>
      <w:ind w:left="-1559.0551181102362" w:right="-1706.4566929133848" w:firstLine="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247036</wp:posOffset>
          </wp:positionV>
          <wp:extent cx="1514475" cy="492586"/>
          <wp:effectExtent b="0" l="0" r="0" t="0"/>
          <wp:wrapNone/>
          <wp:docPr id="15"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42600488"/>
      <w:tag w:val="goog_rdk_1"/>
    </w:sdtPr>
    <w:sdtContent>
      <w:tbl>
        <w:tblPr>
          <w:tblStyle w:val="Table4"/>
          <w:tblpPr w:leftFromText="180" w:rightFromText="180" w:topFromText="180" w:bottomFromText="180" w:vertAnchor="text" w:horzAnchor="text" w:tblpX="0"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61">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63">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64">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65">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66">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67">
              <w:pPr>
                <w:widowControl w:val="0"/>
                <w:spacing w:after="0" w:line="276" w:lineRule="auto"/>
                <w:rPr>
                  <w:rFonts w:ascii="Arial" w:cs="Arial" w:eastAsia="Arial" w:hAnsi="Arial"/>
                  <w:sz w:val="20"/>
                  <w:szCs w:val="20"/>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68">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69">
              <w:pPr>
                <w:widowControl w:val="0"/>
                <w:spacing w:after="0" w:line="276" w:lineRule="auto"/>
                <w:rPr>
                  <w:rFonts w:ascii="Arial" w:cs="Arial" w:eastAsia="Arial" w:hAnsi="Arial"/>
                  <w:b w:val="1"/>
                  <w:bCs w:val="1"/>
                  <w:smallCaps w:val="1"/>
                  <w:sz w:val="28"/>
                  <w:szCs w:val="28"/>
                </w:rPr>
              </w:pPr>
              <w:r w:rsidDel="00000000" w:rsidR="00000000" w:rsidRPr="00000000">
                <w:rPr>
                  <w:rtl w:val="0"/>
                </w:rPr>
              </w:r>
            </w:p>
          </w:tc>
        </w:tr>
      </w:tbl>
    </w:sdtContent>
  </w:sdt>
  <w:p w:rsidR="00000000" w:rsidDel="00000000" w:rsidP="00000000" w:rsidRDefault="00000000" w:rsidRPr="00000000" w14:paraId="0000006A">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ridigital.org.br/" TargetMode="External"/><Relationship Id="rId10" Type="http://schemas.openxmlformats.org/officeDocument/2006/relationships/image" Target="media/image3.png"/><Relationship Id="rId13" Type="http://schemas.openxmlformats.org/officeDocument/2006/relationships/hyperlink" Target="https://codem.belem.pa.gov.br/" TargetMode="External"/><Relationship Id="rId12" Type="http://schemas.openxmlformats.org/officeDocument/2006/relationships/hyperlink" Target="https://financas.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 TargetMode="External"/><Relationship Id="rId14" Type="http://schemas.openxmlformats.org/officeDocument/2006/relationships/hyperlink" Target="https://www.cnj.jus.br/atos_normativos/" TargetMode="External"/><Relationship Id="rId17" Type="http://schemas.openxmlformats.org/officeDocument/2006/relationships/image" Target="media/image1.png"/><Relationship Id="rId16" Type="http://schemas.openxmlformats.org/officeDocument/2006/relationships/hyperlink" Target="https://cartoriosdopara.com.br/emolumentos-geral/"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sZP7n6f2RnP2X8+jmyCrSE2AmA==">CgMxLjAaHwoBMBIaChgICVIUChJ0YWJsZS53bDBzbzVucDE1N3EaHwoBMRIaChgICVIUChJ0YWJsZS41eTA1cmY2bDcxZGcyDmguazdndGl1ZjNlZmQxOAByITFJSm9QQWY1bm5Ib2Nhb25lZ2RITXhiYzUyZW9xcHJfag==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