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REGISTRO DE ARRESTO</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ARTIGO 167, INCISO I, ITEM 5 C/C ART. 239,  LEI Nº 6.015/1973 (LEI DE REGISTROS PÚBLICOS);  </w:t>
      </w:r>
      <w:r w:rsidDel="00000000" w:rsidR="00000000" w:rsidRPr="00000000">
        <w:rPr>
          <w:rFonts w:ascii="Arial" w:cs="Arial" w:eastAsia="Arial" w:hAnsi="Arial"/>
          <w:sz w:val="16"/>
          <w:szCs w:val="16"/>
          <w:rtl w:val="0"/>
        </w:rPr>
        <w:t xml:space="preserve">ART</w:t>
      </w:r>
      <w:r w:rsidDel="00000000" w:rsidR="00000000" w:rsidRPr="00000000">
        <w:rPr>
          <w:rFonts w:ascii="Arial" w:cs="Arial" w:eastAsia="Arial" w:hAnsi="Arial"/>
          <w:sz w:val="16"/>
          <w:szCs w:val="16"/>
          <w:rtl w:val="0"/>
        </w:rPr>
        <w:t xml:space="preserve">. 756, INCISO  I, ALÍNEA “D” DO CÓDIGO DE NORMAS E SERVIÇOS NOTARIAIS E DE REGISTRO ESTADUAL (TJPA); ARTIGOS 827 A 830 DO CÓDIGO DE PROCESSO CIVIL;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registro de arresto. O arresto executivo é uma modalidade de tutela de urgência de natureza cautelar que objetiva assegurar a efetivação de futura penhora na execução por título extrajudicial, ou seja, visa assegurar o direito do exequente ao crédito. Ele é feito na hipótese de o executado não ser encontrado para citação, pois nesse caso o oficial de justiça deve arrestar tantos bens quantos bastem para garantir a execução, podendo o arresto ser convertido em penhora em caso de aperfeiçoamento da citação </w:t>
      </w:r>
      <w:r w:rsidDel="00000000" w:rsidR="00000000" w:rsidRPr="00000000">
        <w:rPr>
          <w:rFonts w:ascii="Arial" w:cs="Arial" w:eastAsia="Arial" w:hAnsi="Arial"/>
          <w:sz w:val="18"/>
          <w:szCs w:val="18"/>
          <w:rtl w:val="0"/>
        </w:rPr>
        <w:t xml:space="preserve">culminada</w:t>
      </w:r>
      <w:r w:rsidDel="00000000" w:rsidR="00000000" w:rsidRPr="00000000">
        <w:rPr>
          <w:rFonts w:ascii="Arial" w:cs="Arial" w:eastAsia="Arial" w:hAnsi="Arial"/>
          <w:sz w:val="18"/>
          <w:szCs w:val="18"/>
          <w:rtl w:val="0"/>
        </w:rPr>
        <w:t xml:space="preserve"> com o não pagamento pelo devedor (art. 830, §3º). O registro do arresto na matrícula do imóvel é extremamente importante, pois gera presunção absoluta de conhecimento da execução por terceiros, impedindo, assim, que ocorram fraudes à execução. Nesse sentido, o exequente é legitimado a requerer o registro na Serventia competente mediante apresentação de cópia do auto, termo ou mandado independentemente de mandado judicial (art. 844). O ideal é que o título contenha os requisitos dispostos no art. 176, §1º, III, e art. 239, ambos da Lei de Registros Públicos (6.015/73), c/c art. 838 do CPC.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registro assinado pelo </w:t>
            </w:r>
            <w:r w:rsidDel="00000000" w:rsidR="00000000" w:rsidRPr="00000000">
              <w:rPr>
                <w:rFonts w:ascii="Arial" w:cs="Arial" w:eastAsia="Arial" w:hAnsi="Arial"/>
                <w:b w:val="1"/>
                <w:bCs w:val="1"/>
                <w:sz w:val="20"/>
                <w:szCs w:val="20"/>
                <w:rtl w:val="0"/>
              </w:rPr>
              <w:t xml:space="preserve">exequente</w:t>
            </w:r>
            <w:r w:rsidDel="00000000" w:rsidR="00000000" w:rsidRPr="00000000">
              <w:rPr>
                <w:rFonts w:ascii="Arial" w:cs="Arial" w:eastAsia="Arial" w:hAnsi="Arial"/>
                <w:sz w:val="20"/>
                <w:szCs w:val="20"/>
                <w:rtl w:val="0"/>
              </w:rPr>
              <w:t xml:space="preserve">, com firma reconhecida, mencionando o número da matrícula do imóvel</w:t>
            </w:r>
          </w:p>
          <w:p w:rsidR="00000000" w:rsidDel="00000000" w:rsidP="00000000" w:rsidRDefault="00000000" w:rsidRPr="00000000" w14:paraId="0000001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só é necessário nos casos de apresentação por Certidão, Termo ou Auto de Arresto.</w:t>
            </w:r>
          </w:p>
          <w:p w:rsidR="00000000" w:rsidDel="00000000" w:rsidP="00000000" w:rsidRDefault="00000000" w:rsidRPr="00000000" w14:paraId="00000017">
            <w:pPr>
              <w:spacing w:after="0" w:lineRule="auto"/>
              <w:ind w:left="0" w:firstLine="0"/>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A">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B">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C">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D">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5">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B">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C">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procurador extrajudicial,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com o respectivo reconhecimento de firma do mandante. Se for em formato digital deve estar assinado digitalmente com assinatura eletrônica avançada ou qualificada. </w:t>
            </w:r>
          </w:p>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Quando tratar-se de um procurador judicial deverá ser apresentada a procuração na via </w:t>
            </w:r>
            <w:r w:rsidDel="00000000" w:rsidR="00000000" w:rsidRPr="00000000">
              <w:rPr>
                <w:rFonts w:ascii="Arial" w:cs="Arial" w:eastAsia="Arial" w:hAnsi="Arial"/>
                <w:b w:val="1"/>
                <w:bCs w:val="1"/>
                <w:sz w:val="20"/>
                <w:szCs w:val="20"/>
                <w:rtl w:val="0"/>
              </w:rPr>
              <w:t xml:space="preserve">original ou cópia autenticada extraída do processo e autenticada pelo escrivão</w:t>
            </w:r>
            <w:r w:rsidDel="00000000" w:rsidR="00000000" w:rsidRPr="00000000">
              <w:rPr>
                <w:rFonts w:ascii="Arial" w:cs="Arial" w:eastAsia="Arial" w:hAnsi="Arial"/>
                <w:sz w:val="20"/>
                <w:szCs w:val="20"/>
                <w:rtl w:val="0"/>
              </w:rPr>
              <w:t xml:space="preserve">, não se fazendo necessário o reconhecimento de firma. Caso seja processo digital, é necessário o código de verificação de autenticidade do documento.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art. 1.390 e seguintes, CC; Arts. 1.417 e 1.418, CC; Decreto Lei nº 167/67;  Lei 6.840/80; Art. 835, XII e XIII, CPC; , art. 3º, Lei nº 8.009/1990; Art. 1.911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 ser apresentada: </w:t>
            </w:r>
          </w:p>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 também p</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ara análise e verificação de eventuais ônus impeditivos ao registro do arresto que possam incidir sobre o imóvel</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O usufruto é direito personalíssimo, motivo pelo qual não pode ser objeto de arresto.</w:t>
            </w:r>
          </w:p>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Caso o arresto recaia sobre os direitos de um contrato de promessa de compra e venda o registro do referido contrato será obrigatório.</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Imóveis gravados com hipoteca cedular não podem ser arrestados.</w:t>
            </w:r>
          </w:p>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Imóveis gravados com alienação fiduciária podem ser arrestados, mas tem que constar expressamente que o arresto recai sobre os direitos expectativos de aquisição.</w:t>
            </w:r>
          </w:p>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Imóveis gravados com cláusula de impenhorabilidade podem ser arrestados somente nos casos de:</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execuções de dívidas tributárias do respectivo imóvel;</w:t>
            </w:r>
          </w:p>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débitos com a Fazenda Pública e dos Institutos; e</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 das dívidas condominiais.</w:t>
            </w:r>
          </w:p>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Imóveis gravados como bem de família podem ser arrestados em decorrência de:</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dívidas com trabalhadores da própria residência;</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dívida de financiamento destinado à construção ou aquisição do respectivo imóvel;</w:t>
            </w:r>
          </w:p>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 cobrança de impostos predial ou territorial, taxas e contribuições devidas em função do imóvel;</w:t>
            </w:r>
          </w:p>
          <w:p w:rsidR="00000000" w:rsidDel="00000000" w:rsidP="00000000" w:rsidRDefault="00000000" w:rsidRPr="00000000" w14:paraId="0000004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 execução de hipoteca oferecida como garantia real pelo casal ou entidade familiar;</w:t>
            </w:r>
          </w:p>
          <w:p w:rsidR="00000000" w:rsidDel="00000000" w:rsidP="00000000" w:rsidRDefault="00000000" w:rsidRPr="00000000" w14:paraId="0000004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 fiança concedida em contrato de locação; e</w:t>
            </w:r>
          </w:p>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 dívidas condominiais.</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Em todos os casos o registro não deve ser negado diretamente, o cartório consulta o Juízo que determinou o arresto.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49">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4A">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4D">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5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56">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57">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5A">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5C">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5D">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5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61">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6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6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6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6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6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6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6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6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Ofício ou Mandado determinando o registro do arresto, endereçado a este Ofício Imobiliário, na via original, alternativamente, podem ser apresentados também, uma Certidão, Termo ou Auto de Arresto, acompanhado de requerimento do exequente.</w:t>
            </w:r>
          </w:p>
          <w:p w:rsidR="00000000" w:rsidDel="00000000" w:rsidP="00000000" w:rsidRDefault="00000000" w:rsidRPr="00000000" w14:paraId="0000006C">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239, da Lei 6.015/73 c/c art. 838 do CPC</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 constar a natureza da ação, número dos autos, Vara, nome do Juiz e o valor da dívida, caso não conste o valor da dívida, a parte poderá apresentar a petição inicial, contendo o valor da causa ou da dívida, devendo o referido valor ser atualizado.</w:t>
            </w:r>
          </w:p>
          <w:p w:rsidR="00000000" w:rsidDel="00000000" w:rsidP="00000000" w:rsidRDefault="00000000" w:rsidRPr="00000000" w14:paraId="0000006E">
            <w:pPr>
              <w:spacing w:after="0" w:lineRule="auto"/>
              <w:jc w:val="both"/>
              <w:rPr>
                <w:rFonts w:ascii="Arial" w:cs="Arial" w:eastAsia="Arial" w:hAnsi="Arial"/>
                <w:sz w:val="20"/>
                <w:szCs w:val="20"/>
              </w:rPr>
            </w:pP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Ofício ou Mandado judicial contendo a qualificação completa das partes para identificar se o executado na ação é o proprietário da matrícula. Caso o </w:t>
            </w:r>
            <w:r w:rsidDel="00000000" w:rsidR="00000000" w:rsidRPr="00000000">
              <w:rPr>
                <w:rFonts w:ascii="Arial" w:cs="Arial" w:eastAsia="Arial" w:hAnsi="Arial"/>
                <w:b w:val="1"/>
                <w:bCs w:val="1"/>
                <w:sz w:val="20"/>
                <w:szCs w:val="20"/>
                <w:rtl w:val="0"/>
              </w:rPr>
              <w:t xml:space="preserve">executado não seja o proprietário </w:t>
            </w:r>
            <w:r w:rsidDel="00000000" w:rsidR="00000000" w:rsidRPr="00000000">
              <w:rPr>
                <w:rFonts w:ascii="Arial" w:cs="Arial" w:eastAsia="Arial" w:hAnsi="Arial"/>
                <w:sz w:val="20"/>
                <w:szCs w:val="20"/>
                <w:rtl w:val="0"/>
              </w:rPr>
              <w:t xml:space="preserve">constante na matrícula, o mandado/ofício deverá conter manifestação expressa do Juízo quanto à ciência do fato e autorização para efetivação do arresto.</w:t>
            </w:r>
          </w:p>
          <w:p w:rsidR="00000000" w:rsidDel="00000000" w:rsidP="00000000" w:rsidRDefault="00000000" w:rsidRPr="00000000" w14:paraId="00000070">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239, da Lei 6.015/73 c/c art. 838 do CPC</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7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obrigatória a identificação do executado com, no mínimo, nome completo e CPF, para correta qualificação no registro. Se o executado não for o proprietário do imóvel, o documento judicial deve informar expressamente que o Juízo tem ciência dessa situação e autoriza a constrição. Na ausência dessa informação, será necessário o envio de ofício ao Juízo para esclarecimento quanto à possibilidade de efetivação do arresto.</w:t>
            </w:r>
          </w:p>
        </w:tc>
      </w:tr>
    </w:tbl>
    <w:p w:rsidR="00000000" w:rsidDel="00000000" w:rsidP="00000000" w:rsidRDefault="00000000" w:rsidRPr="00000000" w14:paraId="00000072">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7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7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7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7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7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78">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533042976"/>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9">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7A">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w:t>
                </w:r>
                <w:r w:rsidDel="00000000" w:rsidR="00000000" w:rsidRPr="00000000">
                  <w:rPr>
                    <w:rFonts w:ascii="Arial" w:cs="Arial" w:eastAsia="Arial" w:hAnsi="Arial"/>
                    <w:b w:val="1"/>
                    <w:bCs w:val="1"/>
                    <w:sz w:val="18"/>
                    <w:szCs w:val="18"/>
                    <w:rtl w:val="0"/>
                  </w:rPr>
                  <w:t xml:space="preserve">Oficial</w:t>
                </w:r>
                <w:r w:rsidDel="00000000" w:rsidR="00000000" w:rsidRPr="00000000">
                  <w:rPr>
                    <w:rtl w:val="0"/>
                  </w:rPr>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7C">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E">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80">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w:t>
                </w:r>
              </w:p>
            </w:tc>
            <w:tc>
              <w:tcPr>
                <w:shd w:fill="auto" w:val="clear"/>
                <w:tcMar>
                  <w:top w:w="0.0" w:type="dxa"/>
                  <w:left w:w="0.0" w:type="dxa"/>
                  <w:bottom w:w="0.0" w:type="dxa"/>
                  <w:right w:w="0.0" w:type="dxa"/>
                </w:tcMar>
                <w:vAlign w:val="center"/>
              </w:tcPr>
              <w:p w:rsidR="00000000" w:rsidDel="00000000" w:rsidP="00000000" w:rsidRDefault="00000000" w:rsidRPr="00000000" w14:paraId="00000082">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84">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86">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7">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88">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89">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8A">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B">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3.png"/>
          <a:graphic>
            <a:graphicData uri="http://schemas.openxmlformats.org/drawingml/2006/picture">
              <pic:pic>
                <pic:nvPicPr>
                  <pic:cNvPr id="0" name="image3.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706327033"/>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D">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E">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F">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90">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91">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92">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94">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96">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dnozvworpEZDuF/en+Xvp75dKg==">CgMxLjAaHwoBMBIaChgICVIUChJ0YWJsZS53bDBzbzVucDE1N3EaHwoBMRIaChgICVIUChJ0YWJsZS41eTA1cmY2bDcxZGc4AHIhMWVHUUVjWEJlRVhNOENCYWJRUUVqWlhYcVZlZ3hIb0R5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