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ARROLAMENTO FISCAL DE BENS</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64, § 5º DA LEI 9.532/97 C/C ART. 5º DA INSTRUÇÃO NORMATIVA SECRETARIA DA RECEITA FEDERAL (IN SRF) Nº 143/98 C/C ART. 4º DA IN SRF 26/2001, IN SR Nº 2.091/2022 C/C ART. 13, II, DA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registro de arrolamento fiscal de bens. O arrolamento fiscal de bens é uma medida cautelar administrativa da Receita Federal (Lei 9.532/97) que registra na matrícula do imóvel uma dívida ativa superior a R$ 2 milhões e que supere 30% do patrimônio do contribuinte. O procedimento no Registro de Imóveis visa monitorar o bem, sem impedir sua venda, mas exigindo comunicação prévia ao fisco.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40"/>
        <w:gridCol w:w="5760"/>
        <w:tblGridChange w:id="0">
          <w:tblGrid>
            <w:gridCol w:w="5640"/>
            <w:gridCol w:w="576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ou Ofício (via original) subscrito pela autoridade administrativa encarregada do arrolamento.  </w:t>
            </w:r>
          </w:p>
          <w:p w:rsidR="00000000" w:rsidDel="00000000" w:rsidP="00000000" w:rsidRDefault="00000000" w:rsidRPr="00000000" w14:paraId="00000016">
            <w:pPr>
              <w:spacing w:after="0" w:lineRule="auto"/>
              <w:ind w:left="0" w:firstLine="0"/>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64, § 5º da Lei 9.532/97 c.c. art. 5º da IN SRF 143/98, c.c. art. 4º da IN SRF 26/2001, c.c. art. 13, II, da Lei 6.015/73. Instrução Normativa SRF nº 26, de 6 de março de 2001 – Anexo II</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 caso da Secretaria da Receita Federal - SRF, será efetuado pelo titular da Delegacia da Receita Federal – DRF ou da inspetoria da Receita Federal, classe A – IRF com jurisdição sobre o domicílio fiscal do sujeito passivo. Deve ser subscrito pela autoridade fiscal supra referida, com indicação de nome, cargo e indicações para sua perfeita identificação. </w:t>
            </w:r>
          </w:p>
          <w:p w:rsidR="00000000" w:rsidDel="00000000" w:rsidP="00000000" w:rsidRDefault="00000000" w:rsidRPr="00000000" w14:paraId="0000001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sujeito passivo deve estar inequivocamente identificado no instrumento administrativo.</w:t>
            </w:r>
          </w:p>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requerido não seja  proprietário da matrícula, o cartório oficiará à Receita Federal consultando acerca da efetivação do arrolamento.</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termo de arrolamento será praticado, independentemente, de pagamento de custas ou emolumentos.</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C">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D">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5">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B">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C">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2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0">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7">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3">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36">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3A">
            <w:pPr>
              <w:spacing w:after="0" w:lineRule="auto"/>
              <w:jc w:val="both"/>
              <w:rPr>
                <w:rFonts w:ascii="Arial" w:cs="Arial" w:eastAsia="Arial" w:hAnsi="Arial"/>
                <w:sz w:val="20"/>
                <w:szCs w:val="20"/>
              </w:rPr>
            </w:pPr>
            <w:hyperlink r:id="rId8">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3C">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bl>
    <w:p w:rsidR="00000000" w:rsidDel="00000000" w:rsidP="00000000" w:rsidRDefault="00000000" w:rsidRPr="00000000" w14:paraId="00000040">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1">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4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4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4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4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4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4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526117612"/>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8">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49">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4B">
                <w:pPr>
                  <w:widowControl w:val="0"/>
                  <w:spacing w:after="0" w:line="240" w:lineRule="auto"/>
                  <w:jc w:val="center"/>
                  <w:rPr>
                    <w:rFonts w:ascii="Arial" w:cs="Arial" w:eastAsia="Arial" w:hAnsi="Arial"/>
                    <w:b w:val="1"/>
                    <w:bCs w:val="1"/>
                    <w:sz w:val="18"/>
                    <w:szCs w:val="18"/>
                  </w:rPr>
                </w:pPr>
                <w:hyperlink r:id="rId9">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C">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4D">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4E">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4F">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0">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51">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2">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53">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55">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6">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57">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58">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59">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5A">
      <w:pPr>
        <w:jc w:val="both"/>
        <w:rPr>
          <w:rFonts w:ascii="Arial" w:cs="Arial" w:eastAsia="Arial" w:hAnsi="Arial"/>
          <w:b w:val="1"/>
          <w:bCs w:val="1"/>
          <w:sz w:val="20"/>
          <w:szCs w:val="20"/>
        </w:rPr>
      </w:pPr>
      <w:r w:rsidDel="00000000" w:rsidR="00000000" w:rsidRPr="00000000">
        <w:rPr>
          <w:rtl w:val="0"/>
        </w:rPr>
      </w:r>
    </w:p>
    <w:sectPr>
      <w:headerReference r:id="rId16" w:type="default"/>
      <w:footerReference r:id="rId17"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812708740"/>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5C">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5D">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5E">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5F">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60">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61">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63">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65">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odem.belem.pa.gov.br/" TargetMode="External"/><Relationship Id="rId10" Type="http://schemas.openxmlformats.org/officeDocument/2006/relationships/hyperlink" Target="https://financas.belem.pa.gov.br/" TargetMode="External"/><Relationship Id="rId13" Type="http://schemas.openxmlformats.org/officeDocument/2006/relationships/hyperlink" Target="https://cartoriosdopara.com.br/" TargetMode="External"/><Relationship Id="rId12" Type="http://schemas.openxmlformats.org/officeDocument/2006/relationships/hyperlink" Target="https://www.cnj.jus.br/atos_normativo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idigital.org.br/" TargetMode="External"/><Relationship Id="rId15" Type="http://schemas.openxmlformats.org/officeDocument/2006/relationships/image" Target="media/image3.png"/><Relationship Id="rId14" Type="http://schemas.openxmlformats.org/officeDocument/2006/relationships/hyperlink" Target="https://cartoriosdopara.com.br/emolumentos-geral/"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ridigital.org.br" TargetMode="External"/><Relationship Id="rId8" Type="http://schemas.openxmlformats.org/officeDocument/2006/relationships/hyperlink" Target="http://siat.belem.pa.gov.br:8081/cadastro/pages/imobiliario/externo/imovelConsultaExterna.js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4C0sA1VARG2dKiFKWaQ+d9DDfw==">CgMxLjAaHwoBMBIaChgICVIUChJ0YWJsZS53bDBzbzVucDE1N3EaHwoBMRIaChgICVIUChJ0YWJsZS41eTA1cmY2bDcxZGc4AHIhMW1Ja2FLbGlaV3NGU2JaLWRLc0oydFV6Tkpma1M0c1ZH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