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0" w:before="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widowControl w:val="1"/>
        <w:spacing w:after="0" w:before="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widowControl w:val="1"/>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widowControl w:val="1"/>
              <w:spacing w:after="0" w:before="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widowControl w:val="1"/>
              <w:tabs>
                <w:tab w:val="center" w:leader="none" w:pos="4252"/>
                <w:tab w:val="right" w:leader="none" w:pos="8504"/>
              </w:tabs>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widowControl w:val="1"/>
              <w:tabs>
                <w:tab w:val="center" w:leader="none" w:pos="4252"/>
                <w:tab w:val="right" w:leader="none" w:pos="8504"/>
              </w:tabs>
              <w:spacing w:after="0" w:before="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CANCELAMENTO DE ALIENAÇÃO E HIPOTECA</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 167, II, 2 E ART. 251, I DA LEI Nº 6.015/1973 (LEI DE REGISTROS PÚBLICOS);  ARTIGOS DO CÓDIGO DE NORMAS E SERVIÇOS NOTARIAIS E DE REGISTRO ESTADUAL (TJPA);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Este checklist tem o objetivo de orientar o cliente sobre os documentos necessários para o pedido de cancelamento de alienação e hipoteca. Muitas pessoas se questionam sobre o procedimento a ser realizado após a quitação de uma dívida contraída por meio de Contrato de Compra e Venda com Alienação Fiduciária. Segundo o art. 23 da Lei nº 9.514/97, a propriedade fiduciária de coisa imóvel se constitui mediante registro do Contrato no Cartório de Imóveis Competente. No momento do registro do título são praticados dois atos: Registro da Compra e Venda e Registro da Propriedade Fiduciária (Alienação). Este último faz com que o devedor se torne possuidor direto (direito de uso) do bem e o credor, possuidor indireto (nu-proprietário). Quando a dívida é paga, nos termos do art. 25 do supracitado diploma, o credor deverá oferecer o respectivo termo de quitação ao fiduciante devidamente assinado, com firma reconhecida e acompanhado dos instrumentos que comprovem a legitimidade da representação. Por fim, para que este concentre em si a posse direta e indireta do imóvel, o termo deve ser levado a Serventia Imobiliária competente para o cancelamento da propriedade fiduciária.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16">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w:t>
            </w:r>
          </w:p>
          <w:p w:rsidR="00000000" w:rsidDel="00000000" w:rsidP="00000000" w:rsidRDefault="00000000" w:rsidRPr="00000000" w14:paraId="0000001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 </w:t>
            </w:r>
          </w:p>
          <w:p w:rsidR="00000000" w:rsidDel="00000000" w:rsidP="00000000" w:rsidRDefault="00000000" w:rsidRPr="00000000" w14:paraId="0000001B">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C">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1E">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1">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7">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D">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0">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37">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38">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3B">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3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3E">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Instrumento original de autorização de cancelamento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Termo de quitação indicando o número do ato registral e o número da matrícula, emitido pelo CREDOR, com assinatura reconhecida.</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Cédula de Crédito Imobiliário</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Apresentar duas vias, "negociável" e "não negociável", com a autorização para cancelamento, devidamente assinado pelas partes e carimbada pelo representante da instituição emissora.</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Cópia autenticada do instrumento de representação (procuração ou substabelecimento) que comprove os poderes do representante que assinou pelo credor.</w:t>
            </w:r>
          </w:p>
          <w:p w:rsidR="00000000" w:rsidDel="00000000" w:rsidP="00000000" w:rsidRDefault="00000000" w:rsidRPr="00000000" w14:paraId="00000046">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653 e 657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procuração deve conter poderes específicos para a prática do ato realizado, sendo indispensável a comprovação da legitimidade do representante que assinou em nome do credor.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(Cancelamento por decurso de tempo) Requerimento de cancelamento da hipoteca, assinado pelo interessado, com declaração expressa, sob as penas da lei, de inexistência de ações ou execuções relacionadas à hipoteca, acompanhado das seguintes certidões:</w:t>
            </w:r>
          </w:p>
          <w:p w:rsidR="00000000" w:rsidDel="00000000" w:rsidP="00000000" w:rsidRDefault="00000000" w:rsidRPr="00000000" w14:paraId="0000004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Certidão de protesto de títulos;</w:t>
            </w:r>
          </w:p>
          <w:p w:rsidR="00000000" w:rsidDel="00000000" w:rsidP="00000000" w:rsidRDefault="00000000" w:rsidRPr="00000000" w14:paraId="0000004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Certidões de feitos ajuizados da Justiça Estadual e da Justiça Federal;</w:t>
            </w:r>
          </w:p>
          <w:p w:rsidR="00000000" w:rsidDel="00000000" w:rsidP="00000000" w:rsidRDefault="00000000" w:rsidRPr="00000000" w14:paraId="0000004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Certidões dos Juizados Especiais Cíveis e Juizados Federais, todas da comarca de situação do imóvel</w:t>
            </w:r>
          </w:p>
          <w:p w:rsidR="00000000" w:rsidDel="00000000" w:rsidP="00000000" w:rsidRDefault="00000000" w:rsidRPr="00000000" w14:paraId="0000004C">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1.485 do Código Civil c/c art. 971, IV, do Código de Normas do Estado do Pará.</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cancelamento da hipoteca por decurso do tempo somente será possível quando se tratar de hipoteca convencional vencida e não prorrogada, devendo ser comprovada a inexistência de qualquer ação ou execução vinculada à garantia. </w:t>
            </w:r>
          </w:p>
        </w:tc>
      </w:tr>
    </w:tbl>
    <w:p w:rsidR="00000000" w:rsidDel="00000000" w:rsidP="00000000" w:rsidRDefault="00000000" w:rsidRPr="00000000" w14:paraId="0000004E">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4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5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51">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5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5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54">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1743592060"/>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5">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56">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Oficial</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7">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58">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9">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5A">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B">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5C">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D">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5E">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F">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60">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1">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62">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3">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64">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65">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66">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6"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67">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8">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69">
      <w:pPr>
        <w:jc w:val="both"/>
        <w:rPr>
          <w:rFonts w:ascii="Arial" w:cs="Arial" w:eastAsia="Arial" w:hAnsi="Arial"/>
          <w:b w:val="1"/>
          <w:bCs w:val="1"/>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247035</wp:posOffset>
          </wp:positionV>
          <wp:extent cx="1514475" cy="492586"/>
          <wp:effectExtent b="0" l="0" r="0" t="0"/>
          <wp:wrapNone/>
          <wp:docPr id="15" name="image1.png"/>
          <a:graphic>
            <a:graphicData uri="http://schemas.openxmlformats.org/drawingml/2006/picture">
              <pic:pic>
                <pic:nvPicPr>
                  <pic:cNvPr id="0" name="image1.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1141987124"/>
      <w:tag w:val="goog_rdk_1"/>
    </w:sdtPr>
    <w:sdtContent>
      <w:tbl>
        <w:tblPr>
          <w:tblStyle w:val="Table4"/>
          <w:tblpPr w:leftFromText="180" w:rightFromText="180" w:topFromText="180" w:bottomFromText="180" w:vertAnchor="text" w:horzAnchor="text" w:tblpX="144.80314960629954"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6B">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C">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6D">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6E">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6F">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70">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4"/>
                  <w:szCs w:val="14"/>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72">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mallCaps w:val="1"/>
                </w:rPr>
              </w:pPr>
              <w:r w:rsidDel="00000000" w:rsidR="00000000" w:rsidRPr="00000000">
                <w:rPr>
                  <w:rtl w:val="0"/>
                </w:rPr>
              </w:r>
            </w:p>
          </w:tc>
        </w:tr>
      </w:tbl>
    </w:sdtContent>
  </w:sdt>
  <w:p w:rsidR="00000000" w:rsidDel="00000000" w:rsidP="00000000" w:rsidRDefault="00000000" w:rsidRPr="00000000" w14:paraId="00000074">
    <w:pPr>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pWsxAMoTB6u+uBNMO70yCbeEQ==">CgMxLjAaHwoBMBIaChgICVIUChJ0YWJsZS53bDBzbzVucDE1N3EaHwoBMRIaChgICVIUChJ0YWJsZS41eTA1cmY2bDcxZGc4AHIhMUpqQ0thWm4tRmtRWGl0eGRSeGFLWVlqc1V1c3hWcks4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