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CARTA DE ADJUDICAÇÃO COMPULSÓRIA</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ART. 167, INCISO I E ART. 216-B DA LEI Nº 6.015/1973 (LEI DE REGISTROS PÚBLICOS); ARTIGOS 876 E 889 DO CÓDIGO CIVIL;  ARTIGOS DO CÓDIGO DE NORMAS E SERVIÇOS NOTARIAIS E DE REGISTRO ESTADUAL (TJPA); ART. 208, § 1º, INC. V DO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registro de carta de adjudicação compulsória. Adjudicação compulsória judicial é a forma de exigir que o proprietário de um imóvel (normalmente na figura de devedor ou promitente vendedor) o transfira a outrem (normalmente na figura de credor ou promitente comprador), por meio de sentença ou carta de adjudicação. Esses títulos devem necessariamente ser registrados na Serventia Imobiliária competente para efetivar a transferência da propriedade. Possui natureza constitutiva, gerando direitos de domínio e posse ao novo proprietário. Dá-se a adjudicação tradicional nos casos dispostos no art. 876, caput e §5º c/c art. 889, incisos II a VIII, do Código de Processo Civil.Em 2022 a Lei nº 14.382 alterou a Lei dos Registros Públicos e inseriu a possibilidade desse instituto se operar na via extrajudicial diretamente no Cartório de Registro de Imóveis da situação do bem, sem prejuízo da via jurisdicional, mediante a apresentação dos documentos dispostos no parágrafo 1º do art. 216-B da LRP, pelos legitimados.Outra novidade legislativa é o reconhecimento expresso da adjudicação compulsória inversa (que já era adotada pela doutrina e pela jurisprudência), isto é, aquela requerida pelo promitente vendedor (ou devedor), judicial ou extrajudicialmente. Essa previsão disposta no art. 216-B é importante, pois o alienante pode estar tendo prejuízos com a não transferência do imóvel por negativa do comprador.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Certidão de casamento (se casado) atualizado (a menos de 90 dias) do transmitente ou adquirente, na via original ou cópia autenticada.</w:t>
            </w:r>
          </w:p>
          <w:p w:rsidR="00000000" w:rsidDel="00000000" w:rsidP="00000000" w:rsidRDefault="00000000" w:rsidRPr="00000000" w14:paraId="0000003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falte algum elemento de qualificação subjetiva poderá ser sanado com a apresentação de documentos apartados (cópias autenticadas pelo juízo, retiradas dos autos do processo). Caso contrário deverão ser apresentados os documentos em cópias autenticadas a serem </w:t>
            </w:r>
            <w:r w:rsidDel="00000000" w:rsidR="00000000" w:rsidRPr="00000000">
              <w:rPr>
                <w:rFonts w:ascii="Arial" w:cs="Arial" w:eastAsia="Arial" w:hAnsi="Arial"/>
                <w:sz w:val="20"/>
                <w:szCs w:val="20"/>
                <w:rtl w:val="0"/>
              </w:rPr>
              <w:t xml:space="preserve">prenotadas</w:t>
            </w:r>
            <w:r w:rsidDel="00000000" w:rsidR="00000000" w:rsidRPr="00000000">
              <w:rPr>
                <w:rFonts w:ascii="Arial" w:cs="Arial" w:eastAsia="Arial" w:hAnsi="Arial"/>
                <w:sz w:val="20"/>
                <w:szCs w:val="20"/>
                <w:rtl w:val="0"/>
              </w:rPr>
              <w:t xml:space="preserve"> em protocolo próprio para a qualificação subjetiva.</w:t>
            </w:r>
          </w:p>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p>
          <w:p w:rsidR="00000000" w:rsidDel="00000000" w:rsidP="00000000" w:rsidRDefault="00000000" w:rsidRPr="00000000" w14:paraId="0000003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transmitente ou adquirente for pessoa física “não casada”, consta declaração de união estável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transmitente ou adquirente conviva em regime de união estável deverá constar a qualificação completa da companheira; </w:t>
            </w:r>
          </w:p>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transmitente conviva em regime de união estável, deverá constar a companheira no ato como anuente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43">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44">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9">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D">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F">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Carta de adjudicação na íntegra</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carta de adjudicação é um título pessoal, para uso e guarda dos direitos somente do favorecido, deverá ser apresentada na </w:t>
            </w:r>
            <w:r w:rsidDel="00000000" w:rsidR="00000000" w:rsidRPr="00000000">
              <w:rPr>
                <w:rFonts w:ascii="Arial" w:cs="Arial" w:eastAsia="Arial" w:hAnsi="Arial"/>
                <w:b w:val="1"/>
                <w:bCs w:val="1"/>
                <w:sz w:val="20"/>
                <w:szCs w:val="20"/>
                <w:rtl w:val="0"/>
              </w:rPr>
              <w:t xml:space="preserve">via original ou cópia autenticada</w:t>
            </w:r>
            <w:r w:rsidDel="00000000" w:rsidR="00000000" w:rsidRPr="00000000">
              <w:rPr>
                <w:rFonts w:ascii="Arial" w:cs="Arial" w:eastAsia="Arial" w:hAnsi="Arial"/>
                <w:sz w:val="20"/>
                <w:szCs w:val="20"/>
                <w:rtl w:val="0"/>
              </w:rPr>
              <w:t xml:space="preserve"> pelo juízo.</w:t>
            </w:r>
          </w:p>
          <w:p w:rsidR="00000000" w:rsidDel="00000000" w:rsidP="00000000" w:rsidRDefault="00000000" w:rsidRPr="00000000" w14:paraId="0000006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Será verificado se foi expedida</w:t>
            </w:r>
            <w:r w:rsidDel="00000000" w:rsidR="00000000" w:rsidRPr="00000000">
              <w:rPr>
                <w:rFonts w:ascii="Arial" w:cs="Arial" w:eastAsia="Arial" w:hAnsi="Arial"/>
                <w:b w:val="1"/>
                <w:bCs w:val="1"/>
                <w:sz w:val="20"/>
                <w:szCs w:val="20"/>
                <w:rtl w:val="0"/>
              </w:rPr>
              <w:t xml:space="preserve"> em favor do interessado</w:t>
            </w:r>
            <w:r w:rsidDel="00000000" w:rsidR="00000000" w:rsidRPr="00000000">
              <w:rPr>
                <w:rFonts w:ascii="Arial" w:cs="Arial" w:eastAsia="Arial" w:hAnsi="Arial"/>
                <w:sz w:val="20"/>
                <w:szCs w:val="20"/>
                <w:rtl w:val="0"/>
              </w:rPr>
              <w:t xml:space="preserve"> que ficará com a propriedade do imóvel.</w:t>
            </w:r>
          </w:p>
          <w:p w:rsidR="00000000" w:rsidDel="00000000" w:rsidP="00000000" w:rsidRDefault="00000000" w:rsidRPr="00000000" w14:paraId="0000006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proprietário/transmitente é </w:t>
            </w:r>
            <w:r w:rsidDel="00000000" w:rsidR="00000000" w:rsidRPr="00000000">
              <w:rPr>
                <w:rFonts w:ascii="Arial" w:cs="Arial" w:eastAsia="Arial" w:hAnsi="Arial"/>
                <w:b w:val="1"/>
                <w:bCs w:val="1"/>
                <w:sz w:val="20"/>
                <w:szCs w:val="20"/>
                <w:rtl w:val="0"/>
              </w:rPr>
              <w:t xml:space="preserve">réu no processo judicial</w:t>
            </w:r>
            <w:r w:rsidDel="00000000" w:rsidR="00000000" w:rsidRPr="00000000">
              <w:rPr>
                <w:rFonts w:ascii="Arial" w:cs="Arial" w:eastAsia="Arial" w:hAnsi="Arial"/>
                <w:sz w:val="20"/>
                <w:szCs w:val="20"/>
                <w:rtl w:val="0"/>
              </w:rPr>
              <w:t xml:space="preserve">. Caso apenas um dos cônjuges figure como réu no processo, é necessário que a carta de adjudicação mencione expressamente que o outro cônjuge foi devidamente intimado, garantindo a regularidade do ato.</w:t>
            </w:r>
          </w:p>
          <w:p w:rsidR="00000000" w:rsidDel="00000000" w:rsidP="00000000" w:rsidRDefault="00000000" w:rsidRPr="00000000" w14:paraId="00000062">
            <w:pPr>
              <w:spacing w:after="0" w:lineRule="auto"/>
              <w:ind w:right="-37.55905511810852"/>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imóvel(is) já tenha(m) matrícula(s) própria(s), poderá consignar no título somente a localização completa e o número da matrícula, não havendo necessidade da transcrição completa.</w:t>
            </w:r>
          </w:p>
          <w:p w:rsidR="00000000" w:rsidDel="00000000" w:rsidP="00000000" w:rsidRDefault="00000000" w:rsidRPr="00000000" w14:paraId="00000063">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 urbano</w:t>
            </w:r>
            <w:r w:rsidDel="00000000" w:rsidR="00000000" w:rsidRPr="00000000">
              <w:rPr>
                <w:rFonts w:ascii="Arial" w:cs="Arial" w:eastAsia="Arial" w:hAnsi="Arial"/>
                <w:sz w:val="20"/>
                <w:szCs w:val="20"/>
                <w:rtl w:val="0"/>
              </w:rPr>
              <w:t xml:space="preserve">: Caso não constou no título, apresentar Certidão Municipal ou espelho do imóvel, no qual conste o número da inscrição/cadastro imobiliário;</w:t>
            </w:r>
          </w:p>
          <w:p w:rsidR="00000000" w:rsidDel="00000000" w:rsidP="00000000" w:rsidRDefault="00000000" w:rsidRPr="00000000" w14:paraId="0000006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imóvel permaneça com</w:t>
            </w:r>
            <w:r w:rsidDel="00000000" w:rsidR="00000000" w:rsidRPr="00000000">
              <w:rPr>
                <w:rFonts w:ascii="Arial" w:cs="Arial" w:eastAsia="Arial" w:hAnsi="Arial"/>
                <w:b w:val="1"/>
                <w:bCs w:val="1"/>
                <w:sz w:val="20"/>
                <w:szCs w:val="20"/>
                <w:rtl w:val="0"/>
              </w:rPr>
              <w:t xml:space="preserve"> destinação rural </w:t>
            </w:r>
            <w:r w:rsidDel="00000000" w:rsidR="00000000" w:rsidRPr="00000000">
              <w:rPr>
                <w:rFonts w:ascii="Arial" w:cs="Arial" w:eastAsia="Arial" w:hAnsi="Arial"/>
                <w:sz w:val="20"/>
                <w:szCs w:val="20"/>
                <w:rtl w:val="0"/>
              </w:rPr>
              <w:t xml:space="preserve">deverá constar no título o número do cadastro rural, o respectivo pagamento do ITR (relativo aos últimos 5 anos), ou apresentação da Certidão Negativa de Débitos Relativos ao Imposto sobre a Propriedade Territorial Rural, além do Cadastro Ambiental Rural – CAR, que deverá ter seu número de inscrição mencionado nas observações do ato de registro. É dispensado o CAR caso já exista reserva legal averbada na matrícula;</w:t>
            </w:r>
          </w:p>
          <w:p w:rsidR="00000000" w:rsidDel="00000000" w:rsidP="00000000" w:rsidRDefault="00000000" w:rsidRPr="00000000" w14:paraId="0000006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título conste indícios da existência de</w:t>
            </w:r>
            <w:r w:rsidDel="00000000" w:rsidR="00000000" w:rsidRPr="00000000">
              <w:rPr>
                <w:rFonts w:ascii="Arial" w:cs="Arial" w:eastAsia="Arial" w:hAnsi="Arial"/>
                <w:b w:val="1"/>
                <w:bCs w:val="1"/>
                <w:sz w:val="20"/>
                <w:szCs w:val="20"/>
                <w:rtl w:val="0"/>
              </w:rPr>
              <w:t xml:space="preserve"> parcelamento de solo clandestino</w:t>
            </w:r>
            <w:r w:rsidDel="00000000" w:rsidR="00000000" w:rsidRPr="00000000">
              <w:rPr>
                <w:rFonts w:ascii="Arial" w:cs="Arial" w:eastAsia="Arial" w:hAnsi="Arial"/>
                <w:sz w:val="20"/>
                <w:szCs w:val="20"/>
                <w:rtl w:val="0"/>
              </w:rPr>
              <w:t xml:space="preserve">, devemos encaminhar ofício para o Ministério Público, com o envio de cópia da documentação apresentada.</w:t>
            </w:r>
          </w:p>
          <w:p w:rsidR="00000000" w:rsidDel="00000000" w:rsidP="00000000" w:rsidRDefault="00000000" w:rsidRPr="00000000" w14:paraId="0000006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w:t>
            </w:r>
            <w:r w:rsidDel="00000000" w:rsidR="00000000" w:rsidRPr="00000000">
              <w:rPr>
                <w:rFonts w:ascii="Arial" w:cs="Arial" w:eastAsia="Arial" w:hAnsi="Arial"/>
                <w:b w:val="1"/>
                <w:bCs w:val="1"/>
                <w:sz w:val="20"/>
                <w:szCs w:val="20"/>
                <w:rtl w:val="0"/>
              </w:rPr>
              <w:t xml:space="preserve"> valores declarados</w:t>
            </w:r>
            <w:r w:rsidDel="00000000" w:rsidR="00000000" w:rsidRPr="00000000">
              <w:rPr>
                <w:rFonts w:ascii="Arial" w:cs="Arial" w:eastAsia="Arial" w:hAnsi="Arial"/>
                <w:sz w:val="20"/>
                <w:szCs w:val="20"/>
                <w:rtl w:val="0"/>
              </w:rPr>
              <w:t xml:space="preserve"> deverão constar individualizadamente para cada unidade; </w:t>
            </w:r>
          </w:p>
          <w:p w:rsidR="00000000" w:rsidDel="00000000" w:rsidP="00000000" w:rsidRDefault="00000000" w:rsidRPr="00000000" w14:paraId="0000006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não conste, solicitar uma declaração apartada, com firma reconhecida, declarando o valor real de cada imóvel individualizadamente</w:t>
            </w:r>
          </w:p>
          <w:p w:rsidR="00000000" w:rsidDel="00000000" w:rsidP="00000000" w:rsidRDefault="00000000" w:rsidRPr="00000000" w14:paraId="0000006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constar expressamente qual o respectivo </w:t>
            </w:r>
            <w:r w:rsidDel="00000000" w:rsidR="00000000" w:rsidRPr="00000000">
              <w:rPr>
                <w:rFonts w:ascii="Arial" w:cs="Arial" w:eastAsia="Arial" w:hAnsi="Arial"/>
                <w:b w:val="1"/>
                <w:bCs w:val="1"/>
                <w:sz w:val="20"/>
                <w:szCs w:val="20"/>
                <w:rtl w:val="0"/>
              </w:rPr>
              <w:t xml:space="preserve">ônus impeditivo de alienação</w:t>
            </w:r>
            <w:r w:rsidDel="00000000" w:rsidR="00000000" w:rsidRPr="00000000">
              <w:rPr>
                <w:rFonts w:ascii="Arial" w:cs="Arial" w:eastAsia="Arial" w:hAnsi="Arial"/>
                <w:sz w:val="20"/>
                <w:szCs w:val="20"/>
                <w:rtl w:val="0"/>
              </w:rPr>
              <w:t xml:space="preserve"> (hipoteca comum, </w:t>
            </w:r>
            <w:r w:rsidDel="00000000" w:rsidR="00000000" w:rsidRPr="00000000">
              <w:rPr>
                <w:rFonts w:ascii="Arial" w:cs="Arial" w:eastAsia="Arial" w:hAnsi="Arial"/>
                <w:sz w:val="20"/>
                <w:szCs w:val="20"/>
                <w:rtl w:val="0"/>
              </w:rPr>
              <w:t xml:space="preserve">penhora</w:t>
            </w:r>
            <w:r w:rsidDel="00000000" w:rsidR="00000000" w:rsidRPr="00000000">
              <w:rPr>
                <w:rFonts w:ascii="Arial" w:cs="Arial" w:eastAsia="Arial" w:hAnsi="Arial"/>
                <w:sz w:val="20"/>
                <w:szCs w:val="20"/>
                <w:rtl w:val="0"/>
              </w:rPr>
              <w:t xml:space="preserve">, servidão, usufruto, promessa de compra e venda em favor de terceiro, averbação de indisponibilidade, etc.) e a ciência do adquirente.</w:t>
            </w:r>
          </w:p>
          <w:p w:rsidR="00000000" w:rsidDel="00000000" w:rsidP="00000000" w:rsidRDefault="00000000" w:rsidRPr="00000000" w14:paraId="0000006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Ainda que exista ônus averbado, tal fato não impede o registro da carta de adjudicação, contudo, impede a transmissão voluntária do bem (atos posteriores).</w:t>
            </w:r>
          </w:p>
          <w:p w:rsidR="00000000" w:rsidDel="00000000" w:rsidP="00000000" w:rsidRDefault="00000000" w:rsidRPr="00000000" w14:paraId="0000006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penhora relativa aos autos da adjudicação deverá ser cancelada por meio de averbação própria (artigo 248 da Lei n. 6.015/73).</w:t>
            </w:r>
          </w:p>
          <w:p w:rsidR="00000000" w:rsidDel="00000000" w:rsidP="00000000" w:rsidRDefault="00000000" w:rsidRPr="00000000" w14:paraId="0000006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Ônus oriundos de outro juízo que não seja o mesmo da adjudicação, somente poderão ser cancelados por decisão do Juízo que determinou a inclusão do gravame ou a requerimento do interessado, instruído com a certidão judicial de auto de levantamento da penhora, de acordo com o art. 250, I e III, da Lei n. 6.015/73. Sobre a hipoteca, ver o art. 1.501 do CC.</w:t>
            </w:r>
          </w:p>
          <w:p w:rsidR="00000000" w:rsidDel="00000000" w:rsidP="00000000" w:rsidRDefault="00000000" w:rsidRPr="00000000" w14:paraId="0000006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positivo, será verificada se na carta consta ordem expressa para a prevalência da adjudicação em relação a outro ônus. Caso não conste nenhuma, devemos oficiar ao Juízo</w:t>
            </w:r>
          </w:p>
        </w:tc>
      </w:tr>
    </w:tbl>
    <w:p w:rsidR="00000000" w:rsidDel="00000000" w:rsidP="00000000" w:rsidRDefault="00000000" w:rsidRPr="00000000" w14:paraId="0000006D">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6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7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7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7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73">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769003340"/>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4">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75">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6">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77">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9">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7B">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7D">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E">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7F">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0">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81">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8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8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84">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85">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1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6">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15" name="image3.png"/>
          <a:graphic>
            <a:graphicData uri="http://schemas.openxmlformats.org/drawingml/2006/picture">
              <pic:pic>
                <pic:nvPicPr>
                  <pic:cNvPr id="0" name="image3.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178448813"/>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8">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89">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A">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8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8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8D">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8F">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DOCUMENTOS PARA O CLIENTE</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91">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1m/eGAAhOz5C1hupu+mjHL6IHg==">CgMxLjAaHwoBMBIaChgICVIUChJ0YWJsZS53bDBzbzVucDE1N3EaHwoBMRIaChgICVIUChJ0YWJsZS41eTA1cmY2bDcxZGc4AHIhMTZuNlBoS3k0SVZYVjNOMm5jQjY1cFBjd3VKSk1IVXVR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