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CARTA DE ARREMATAÇÃO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901 DO CÓDIGO DE PROCESSO CIVIL; ART. 167 INCISO I, ITEM 26 DA LEI Nº 6.015/1973 (LEI DE REGISTROS PÚBLICOS);  ARTIGOS DO CÓDIGO DE NORMAS E SERVIÇOS NOTARIAIS E DE REGISTRO ESTADUAL (TJPA); ART. 410, §1º, INC. VIII DO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carta de arrematação. Arrematação é a compra de bens em leilão (judicial ou extrajudicial) ou hasta pública, sendo um o instrumento hábil e definitivo que transfere o domínio do imóvel ao arrematante. Após a alienação deverá ser lavrado auto de arrematação e expedida carta de arrematação em favor do arrematante, a qual deverá ser levada a registro no Cartório de Registro de Imóveis da situação do bem. O registro far-se-á mediante o pagamento dos emolumentos cartorários, e apresentação da carta de arrematação, que deverá conter, nos termos do art. 901, §2º, do Código de Processo Civil: a) descrição do imóvel, com remissão à sua matrícula ou individuação e aos seus registros; b) a cópia do auto de arrematação; c) a prova de pagamento do imposto de transmissão (ITBI); d) indicação da existência de eventual ônus real ou gravame. Além disso, em observância ao Provimento nº 161/2024 do CNJ, deverá ser indicado o valor da arrematação, bem como a forma de pagamento.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transmitente)</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Carta de arrematação na íntegra</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carta de arrematação deverá ser apresentada na via original ou cópia autenticada pelo Juízo.</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 a descrição completa do imóvel e o valor do lance de arrematação e qualificação completa dos adquirentes.</w:t>
            </w:r>
          </w:p>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Identificar se os transmitentes são os executados no processo judicial.</w:t>
            </w:r>
          </w:p>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valores declarados deverão constar individualizadamente para cada unidade.</w:t>
            </w:r>
          </w:p>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Carta de arrematação é um título de aquisição originária da propriedade. Ainda que exista ônus averbado, tal fato não impede o registro da carta de arrematação, contudo, impede a transmissão voluntária do bem (atos posteriores). </w:t>
            </w:r>
          </w:p>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constar expressamente qual o respectivo ônus impeditivo de alienação (hipoteca comum, penhora, servidão, usufruto promessa de compra e venda em favor de terceiro, alienação fiduciária, averbação de indisponibilidade, penhora da União ou INSS, hipoteca cedular ou do SFH) e a ciência do adquirente. </w:t>
            </w:r>
          </w:p>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penhora relativa aos autos da arrematação deverá ser cancelada por meio de averbação própria (artigo 248 da Lei nº 6.015/73). </w:t>
            </w:r>
          </w:p>
          <w:p w:rsidR="00000000" w:rsidDel="00000000" w:rsidP="00000000" w:rsidRDefault="00000000" w:rsidRPr="00000000" w14:paraId="0000006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Ônus oriundos de outro juízo que não seja o mesmo da arrematação, somente poderão ser cancelados por decisão do Juízo que determinou a inclusão do gravame ou a requerimento do interessado, instruído com a certidão judicial de auto de levantamento da penhora, de acordo com o art. 250, I e III, da Lei n. 6.015/73. </w:t>
            </w:r>
          </w:p>
          <w:p w:rsidR="00000000" w:rsidDel="00000000" w:rsidP="00000000" w:rsidRDefault="00000000" w:rsidRPr="00000000" w14:paraId="0000006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Sobre a hipoteca, ver o art. 1.501 do CC</w:t>
            </w:r>
          </w:p>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positivo verificar se na carta consta ordem expressa para a prevalência da arrematação em relação ao outro ônus. Caso não conste nenhuma, devemos oficiar ao Juízo.</w:t>
            </w:r>
          </w:p>
        </w:tc>
      </w:tr>
    </w:tbl>
    <w:p w:rsidR="00000000" w:rsidDel="00000000" w:rsidP="00000000" w:rsidRDefault="00000000" w:rsidRPr="00000000" w14:paraId="00000064">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794891457"/>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6">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8">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9">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A">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B">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C">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E">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F">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2071234015"/>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1">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3">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4">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5">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6">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8">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A">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z1RfcAbU8J+cY3yW87SDkqfq4g==">CgMxLjAaHwoBMBIaChgICVIUChJ0YWJsZS53bDBzbzVucDE1N3EaHwoBMRIaChgICVIUChJ0YWJsZS41eTA1cmY2bDcxZGc4AHIhMWdyQjlpZEgxbjhMOWpTZTRCS3FaRVZYSVZfeGNFc3Bh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