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after="0" w:before="0" w:line="240" w:lineRule="auto"/>
        <w:ind w:right="-29.527559055116512"/>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HISTÓRICO DAS REVISÕES</w:t>
      </w:r>
      <w:r w:rsidDel="00000000" w:rsidR="00000000" w:rsidRPr="00000000">
        <w:rPr>
          <w:rtl w:val="0"/>
        </w:rPr>
      </w:r>
    </w:p>
    <w:p w:rsidR="00000000" w:rsidDel="00000000" w:rsidP="00000000" w:rsidRDefault="00000000" w:rsidRPr="00000000" w14:paraId="00000002">
      <w:pPr>
        <w:widowControl w:val="1"/>
        <w:spacing w:after="0" w:before="0" w:line="240" w:lineRule="auto"/>
        <w:ind w:right="-29.527559055116512"/>
        <w:jc w:val="both"/>
        <w:rPr>
          <w:rFonts w:ascii="Arial" w:cs="Arial" w:eastAsia="Arial" w:hAnsi="Arial"/>
        </w:rPr>
      </w:pPr>
      <w:r w:rsidDel="00000000" w:rsidR="00000000" w:rsidRPr="00000000">
        <w:rPr>
          <w:rFonts w:ascii="Arial" w:cs="Arial" w:eastAsia="Arial" w:hAnsi="Arial"/>
          <w:sz w:val="18"/>
          <w:szCs w:val="18"/>
          <w:rtl w:val="0"/>
        </w:rPr>
        <w:t xml:space="preserve">Este documento teve sua primeira versão elaborada em 10/03/2026, com base nas descrições previstas legalmente e nas definições do Oficial do Segundo Ofício de Registro de Imóveis de Belém-PA.</w:t>
      </w:r>
      <w:r w:rsidDel="00000000" w:rsidR="00000000" w:rsidRPr="00000000">
        <w:rPr>
          <w:rtl w:val="0"/>
        </w:rPr>
      </w:r>
    </w:p>
    <w:tbl>
      <w:tblPr>
        <w:tblStyle w:val="Table1"/>
        <w:tblW w:w="11055.11811023622" w:type="dxa"/>
        <w:jc w:val="left"/>
        <w:tblInd w:w="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5.039370078741"/>
        <w:gridCol w:w="3685.039370078741"/>
        <w:gridCol w:w="3685.039370078741"/>
        <w:tblGridChange w:id="0">
          <w:tblGrid>
            <w:gridCol w:w="3685.039370078741"/>
            <w:gridCol w:w="3685.039370078741"/>
            <w:gridCol w:w="3685.039370078741"/>
          </w:tblGrid>
        </w:tblGridChange>
      </w:tblGrid>
      <w:tr>
        <w:trPr>
          <w:cantSplit w:val="0"/>
          <w:trHeight w:val="303.984375" w:hRule="atLeast"/>
          <w:tblHeader w:val="0"/>
        </w:trPr>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3">
            <w:pPr>
              <w:widowControl w:val="1"/>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Revisão Nº</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4">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Natureza da Alteração</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5">
            <w:pPr>
              <w:widowControl w:val="1"/>
              <w:spacing w:after="0" w:before="0" w:line="240" w:lineRule="auto"/>
              <w:ind w:right="-20"/>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Data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6">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7">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8">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9">
            <w:pPr>
              <w:widowControl w:val="1"/>
              <w:tabs>
                <w:tab w:val="center" w:leader="none" w:pos="4252"/>
                <w:tab w:val="right" w:leader="none" w:pos="8504"/>
              </w:tabs>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Elaborado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A">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B">
            <w:pPr>
              <w:widowControl w:val="1"/>
              <w:tabs>
                <w:tab w:val="center" w:leader="none" w:pos="4252"/>
                <w:tab w:val="right" w:leader="none" w:pos="8504"/>
              </w:tabs>
              <w:spacing w:after="0" w:before="0" w:line="240" w:lineRule="auto"/>
              <w:ind w:right="-20"/>
              <w:jc w:val="both"/>
              <w:rPr>
                <w:rFonts w:ascii="Arial" w:cs="Arial" w:eastAsia="Arial" w:hAnsi="Arial"/>
                <w:sz w:val="16"/>
                <w:szCs w:val="16"/>
              </w:rPr>
            </w:pPr>
            <w:r w:rsidDel="00000000" w:rsidR="00000000" w:rsidRPr="00000000">
              <w:rPr>
                <w:rFonts w:ascii="Arial" w:cs="Arial" w:eastAsia="Arial" w:hAnsi="Arial"/>
                <w:b w:val="1"/>
                <w:bCs w:val="1"/>
                <w:sz w:val="16"/>
                <w:szCs w:val="16"/>
                <w:rtl w:val="0"/>
              </w:rPr>
              <w:t xml:space="preserve">Aprovado por:</w:t>
            </w:r>
            <w:r w:rsidDel="00000000" w:rsidR="00000000" w:rsidRPr="00000000">
              <w:rPr>
                <w:rtl w:val="0"/>
              </w:rPr>
            </w:r>
          </w:p>
        </w:tc>
      </w:tr>
      <w:tr>
        <w:trPr>
          <w:cantSplit w:val="0"/>
          <w:trHeight w:val="288.98437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C">
            <w:pPr>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Brenda Letícia Silva Gomes Bacelar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D">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Dra. Monique Braga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E">
            <w:pPr>
              <w:tabs>
                <w:tab w:val="center" w:leader="none" w:pos="4252"/>
                <w:tab w:val="right" w:leader="none" w:pos="8504"/>
              </w:tabs>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Dr. Flavio Heleno Pereira de Sousa</w:t>
            </w:r>
            <w:r w:rsidDel="00000000" w:rsidR="00000000" w:rsidRPr="00000000">
              <w:rPr>
                <w:rtl w:val="0"/>
              </w:rPr>
            </w:r>
          </w:p>
        </w:tc>
      </w:tr>
    </w:tbl>
    <w:p w:rsidR="00000000" w:rsidDel="00000000" w:rsidP="00000000" w:rsidRDefault="00000000" w:rsidRPr="00000000" w14:paraId="0000000F">
      <w:pPr>
        <w:pStyle w:val="Heading1"/>
        <w:spacing w:before="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0">
      <w:pPr>
        <w:pStyle w:val="Heading1"/>
        <w:spacing w:before="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CHECKLIST PARA O CLIENTE - ALTERAÇÃO ESTADO CIVIL - PARA CASADO</w:t>
      </w:r>
    </w:p>
    <w:p w:rsidR="00000000" w:rsidDel="00000000" w:rsidP="00000000" w:rsidRDefault="00000000" w:rsidRPr="00000000" w14:paraId="00000011">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PREVISÃO LEGAL: ART. 167, II, 5 DA LEI Nº 6.015/1973 (LEI DE REGISTROS PÚBLICOS);  ARTIGOS DO CÓDIGO DE NORMAS E SERVIÇOS NOTARIAIS E DE REGISTRO ESTADUAL (TJPA); CÓDIGO NACIONAL DE NORMAS DA CORREGEDORIA NACIONAL DE JUSTIÇA DO CONSELHO NACIONAL DE JUSTIÇA -  FORO EXTRAJUDICIAL (CNN/ CN/CNJ-EXTRA) - PROVIMENTO Nº 149/2023</w:t>
      </w:r>
    </w:p>
    <w:p w:rsidR="00000000" w:rsidDel="00000000" w:rsidP="00000000" w:rsidRDefault="00000000" w:rsidRPr="00000000" w14:paraId="00000012">
      <w:pPr>
        <w:spacing w:after="0" w:lineRule="auto"/>
        <w:jc w:val="both"/>
        <w:rPr>
          <w:rFonts w:ascii="Arial" w:cs="Arial" w:eastAsia="Arial" w:hAnsi="Arial"/>
          <w:sz w:val="20"/>
          <w:szCs w:val="20"/>
        </w:rPr>
      </w:pPr>
      <w:r w:rsidDel="00000000" w:rsidR="00000000" w:rsidRPr="00000000">
        <w:rPr>
          <w:rFonts w:ascii="Arial" w:cs="Arial" w:eastAsia="Arial" w:hAnsi="Arial"/>
          <w:b w:val="1"/>
          <w:bCs w:val="1"/>
          <w:sz w:val="18"/>
          <w:szCs w:val="18"/>
          <w:rtl w:val="0"/>
        </w:rPr>
        <w:t xml:space="preserve">CONCEITO</w:t>
      </w:r>
      <w:r w:rsidDel="00000000" w:rsidR="00000000" w:rsidRPr="00000000">
        <w:rPr>
          <w:rFonts w:ascii="Arial" w:cs="Arial" w:eastAsia="Arial" w:hAnsi="Arial"/>
          <w:sz w:val="18"/>
          <w:szCs w:val="18"/>
          <w:rtl w:val="0"/>
        </w:rPr>
        <w:t xml:space="preserve">: Este checklist tem o objetivo de orientar o cliente sobre os documentos necessários para o pedido de alteração de estado civil. Marque os itens já providenciados e utilize as observações para saber onde e como obter cada documento.</w:t>
      </w:r>
      <w:r w:rsidDel="00000000" w:rsidR="00000000" w:rsidRPr="00000000">
        <w:rPr>
          <w:rtl w:val="0"/>
        </w:rPr>
      </w:r>
    </w:p>
    <w:tbl>
      <w:tblPr>
        <w:tblStyle w:val="Table2"/>
        <w:tblW w:w="11400.0" w:type="dxa"/>
        <w:jc w:val="left"/>
        <w:tblInd w:w="12.99212598425185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70"/>
        <w:gridCol w:w="5730"/>
        <w:tblGridChange w:id="0">
          <w:tblGrid>
            <w:gridCol w:w="5670"/>
            <w:gridCol w:w="5730"/>
          </w:tblGrid>
        </w:tblGridChange>
      </w:tblGrid>
      <w:tr>
        <w:trPr>
          <w:cantSplit w:val="1"/>
          <w:tblHeader w:val="0"/>
        </w:trPr>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3">
            <w:pP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Documento / Item</w:t>
            </w:r>
          </w:p>
        </w:tc>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4">
            <w:pPr>
              <w:spacing w:after="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Observação ao Cliente</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5">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Requerimento solicitando a averbação</w:t>
            </w:r>
          </w:p>
          <w:p w:rsidR="00000000" w:rsidDel="00000000" w:rsidP="00000000" w:rsidRDefault="00000000" w:rsidRPr="00000000" w14:paraId="00000016">
            <w:pPr>
              <w:spacing w:after="0" w:lineRule="auto"/>
              <w:ind w:left="0" w:firstLine="0"/>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13, inciso II; art. 222; art. 221, inciso II; art. 250, II,  da Lei nº 6.015/1973</w:t>
            </w:r>
          </w:p>
          <w:p w:rsidR="00000000" w:rsidDel="00000000" w:rsidP="00000000" w:rsidRDefault="00000000" w:rsidRPr="00000000" w14:paraId="00000017">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8">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requerimento deverá ser assinado pelo(s) interessado(s) que, em regra, é(são) o(s) proprietário(s) titular(es) do direito real garantido pelo registro a ser retificado. </w:t>
            </w:r>
          </w:p>
          <w:p w:rsidR="00000000" w:rsidDel="00000000" w:rsidP="00000000" w:rsidRDefault="00000000" w:rsidRPr="00000000" w14:paraId="0000001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Todas as assinaturas apostas no requerimento deverão ser reconhecidas por tabelião no cartório de notas. </w:t>
            </w:r>
          </w:p>
          <w:p w:rsidR="00000000" w:rsidDel="00000000" w:rsidP="00000000" w:rsidRDefault="00000000" w:rsidRPr="00000000" w14:paraId="0000001B">
            <w:pPr>
              <w:spacing w:after="0" w:lineRule="auto"/>
              <w:jc w:val="both"/>
              <w:rPr>
                <w:rFonts w:ascii="Arial" w:cs="Arial" w:eastAsia="Arial" w:hAnsi="Arial"/>
                <w:b w:val="1"/>
                <w:bCs w:val="1"/>
                <w:i w:val="1"/>
                <w:iCs w:val="1"/>
                <w:sz w:val="20"/>
                <w:szCs w:val="20"/>
              </w:rPr>
            </w:pPr>
            <w:r w:rsidDel="00000000" w:rsidR="00000000" w:rsidRPr="00000000">
              <w:rPr>
                <w:rFonts w:ascii="Arial" w:cs="Arial" w:eastAsia="Arial" w:hAnsi="Arial"/>
                <w:b w:val="1"/>
                <w:bCs w:val="1"/>
                <w:i w:val="1"/>
                <w:iCs w:val="1"/>
                <w:sz w:val="18"/>
                <w:szCs w:val="18"/>
                <w:rtl w:val="0"/>
              </w:rPr>
              <w:t xml:space="preserve">- Requerimento disponível no site </w:t>
            </w:r>
            <w:hyperlink r:id="rId7">
              <w:r w:rsidDel="00000000" w:rsidR="00000000" w:rsidRPr="00000000">
                <w:rPr>
                  <w:rFonts w:ascii="Arial" w:cs="Arial" w:eastAsia="Arial" w:hAnsi="Arial"/>
                  <w:b w:val="1"/>
                  <w:bCs w:val="1"/>
                  <w:i w:val="1"/>
                  <w:iCs w:val="1"/>
                  <w:color w:val="1155cc"/>
                  <w:sz w:val="18"/>
                  <w:szCs w:val="18"/>
                  <w:u w:val="single"/>
                  <w:rtl w:val="0"/>
                </w:rPr>
                <w:t xml:space="preserve">www.2sribelem.com.br</w:t>
              </w:r>
            </w:hyperlink>
            <w:r w:rsidDel="00000000" w:rsidR="00000000" w:rsidRPr="00000000">
              <w:rPr>
                <w:rFonts w:ascii="Arial" w:cs="Arial" w:eastAsia="Arial" w:hAnsi="Arial"/>
                <w:b w:val="1"/>
                <w:bCs w:val="1"/>
                <w:i w:val="1"/>
                <w:iCs w:val="1"/>
                <w:sz w:val="18"/>
                <w:szCs w:val="18"/>
                <w:rtl w:val="0"/>
              </w:rPr>
              <w:t xml:space="preserve"> ou no atendimento presencialmente.</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C">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Se o Requerimento solicitando a averbação for apresentado em </w:t>
            </w:r>
            <w:r w:rsidDel="00000000" w:rsidR="00000000" w:rsidRPr="00000000">
              <w:rPr>
                <w:rFonts w:ascii="Arial" w:cs="Arial" w:eastAsia="Arial" w:hAnsi="Arial"/>
                <w:b w:val="1"/>
                <w:bCs w:val="1"/>
                <w:sz w:val="20"/>
                <w:szCs w:val="20"/>
                <w:rtl w:val="0"/>
              </w:rPr>
              <w:t xml:space="preserve">formato eletrônico</w:t>
            </w:r>
          </w:p>
          <w:p w:rsidR="00000000" w:rsidDel="00000000" w:rsidP="00000000" w:rsidRDefault="00000000" w:rsidRPr="00000000" w14:paraId="0000001D">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208, II c/c art. 210 do Provimento nº 149/2023 do CNJ e Provimento nº 180/2024 do CNJ</w:t>
            </w:r>
          </w:p>
          <w:p w:rsidR="00000000" w:rsidDel="00000000" w:rsidP="00000000" w:rsidRDefault="00000000" w:rsidRPr="00000000" w14:paraId="0000001E">
            <w:pPr>
              <w:spacing w:after="0" w:lineRule="auto"/>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estruturado eletronicamente e estar assinado digitalmente com assinatura eletrônica avançada ou qualificada, por todas as partes, com uso de certificado emitido com os requisitos da Infraestrutura de Chaves Públicas Brasileira (ICP-Brasil), ou avançadas, por meio do “e-Notariado” ou do “Portal Gov.br”.</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0">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física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1">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a, da Lei nº 6.015/1973.</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apresentar qualificação subjetiva completa, contendo: Nome completo (sem abreviações), nacionalidade, estado civil, profissão, domicílio ou residência, número de inscrição no Cadastro de Pessoas Físicas (CPF), número do documento oficial de identidade (RG) ou, na ausência deste, filiação. Se casado, informar também o nome completo e a qualificação do cônjuge, o regime de bens do casamento e a data em que foi celebrado, indicando se ocorreu antes ou depois da Lei nº 6.515, de 26 de dezembro de 1977.</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3">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jurídica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4">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b, da Lei nº 6.015/1973; artigo 661, §1º, do Código Civil</w:t>
            </w:r>
            <w:r w:rsidDel="00000000" w:rsidR="00000000" w:rsidRPr="00000000">
              <w:rPr>
                <w:rtl w:val="0"/>
              </w:rPr>
            </w:r>
          </w:p>
          <w:p w:rsidR="00000000" w:rsidDel="00000000" w:rsidP="00000000" w:rsidRDefault="00000000" w:rsidRPr="00000000" w14:paraId="00000025">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6">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Se representada por administrador ou diretor, deverá ser apresentado o contrato social consolidado e eventuais alterações posteriores, se houver,</w:t>
            </w:r>
            <w:r w:rsidDel="00000000" w:rsidR="00000000" w:rsidRPr="00000000">
              <w:rPr>
                <w:rFonts w:ascii="Arial" w:cs="Arial" w:eastAsia="Arial" w:hAnsi="Arial"/>
                <w:b w:val="1"/>
                <w:bCs w:val="1"/>
                <w:rtl w:val="0"/>
              </w:rPr>
              <w:t xml:space="preserve"> ou</w:t>
            </w:r>
          </w:p>
          <w:p w:rsidR="00000000" w:rsidDel="00000000" w:rsidP="00000000" w:rsidRDefault="00000000" w:rsidRPr="00000000" w14:paraId="00000027">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Deve ser apresentado o Estatuto Social e a Ata de Assembleia de Eleição da Diretoria com o código de verificação para validação no site da Junta Comercial, quando aplicável,</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b w:val="1"/>
                <w:bCs w:val="1"/>
                <w:rtl w:val="0"/>
              </w:rPr>
              <w:t xml:space="preserve">ou estar </w:t>
            </w:r>
          </w:p>
          <w:p w:rsidR="00000000" w:rsidDel="00000000" w:rsidP="00000000" w:rsidRDefault="00000000" w:rsidRPr="00000000" w14:paraId="0000002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Acompanhado de certidão de registro dos atos emitida pelo Registro Civil das Pessoas Jurídicas.</w:t>
            </w:r>
          </w:p>
          <w:p w:rsidR="00000000" w:rsidDel="00000000" w:rsidP="00000000" w:rsidRDefault="00000000" w:rsidRPr="00000000" w14:paraId="0000002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Havendo mais de um administrador, bastará a assinatura de qualquer um deles, desde que não exista previsão em contrário no seu ato constitutivo</w:t>
            </w:r>
          </w:p>
          <w:p w:rsidR="00000000" w:rsidDel="00000000" w:rsidP="00000000" w:rsidRDefault="00000000" w:rsidRPr="00000000" w14:paraId="0000002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podem ser apresentados na via original ou em cópia autenticada. </w:t>
            </w:r>
          </w:p>
          <w:p w:rsidR="00000000" w:rsidDel="00000000" w:rsidP="00000000" w:rsidRDefault="00000000" w:rsidRPr="00000000" w14:paraId="0000002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pessoa jurídica: informar a razão social, a sede ou endereço e o número de inscrição no CNPJ. É obrigatória a inscrição no CNPJ das pessoas jurídicas domiciliadas no exterior que possuam imóveis no País ou direitos reais a eles relativos.</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C">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Procuração válida (se houver representante)</w:t>
            </w:r>
          </w:p>
          <w:p w:rsidR="00000000" w:rsidDel="00000000" w:rsidP="00000000" w:rsidRDefault="00000000" w:rsidRPr="00000000" w14:paraId="0000002D">
            <w:pPr>
              <w:spacing w:after="0" w:lineRule="auto"/>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 661, §1º, artigo 1.018 do Código Civil</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pedido for feito por representante, apresentar procuração</w:t>
            </w:r>
            <w:r w:rsidDel="00000000" w:rsidR="00000000" w:rsidRPr="00000000">
              <w:rPr>
                <w:rFonts w:ascii="Arial" w:cs="Arial" w:eastAsia="Arial" w:hAnsi="Arial"/>
                <w:b w:val="1"/>
                <w:bCs w:val="1"/>
                <w:sz w:val="20"/>
                <w:szCs w:val="20"/>
                <w:rtl w:val="0"/>
              </w:rPr>
              <w:t xml:space="preserve"> original ou cópia autenticada</w:t>
            </w:r>
            <w:r w:rsidDel="00000000" w:rsidR="00000000" w:rsidRPr="00000000">
              <w:rPr>
                <w:rFonts w:ascii="Arial" w:cs="Arial" w:eastAsia="Arial" w:hAnsi="Arial"/>
                <w:sz w:val="20"/>
                <w:szCs w:val="20"/>
                <w:rtl w:val="0"/>
              </w:rPr>
              <w:t xml:space="preserve"> com poderes específicos para o ato. Se for em formato digital deve estar assinado digitalmente com assinatura eletrônica avançada ou qualificada. </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inteiro teor atualizada da matrícula </w:t>
            </w:r>
          </w:p>
          <w:p w:rsidR="00000000" w:rsidDel="00000000" w:rsidP="00000000" w:rsidRDefault="00000000" w:rsidRPr="00000000" w14:paraId="00000030">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818 do Código de Normas do Pará </w:t>
            </w:r>
          </w:p>
          <w:p w:rsidR="00000000" w:rsidDel="00000000" w:rsidP="00000000" w:rsidRDefault="00000000" w:rsidRPr="00000000" w14:paraId="00000031">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mudança de circunscrição, apresentar a Certidão de inteiro teor da matrícula emitida há no máximo </w:t>
            </w:r>
            <w:r w:rsidDel="00000000" w:rsidR="00000000" w:rsidRPr="00000000">
              <w:rPr>
                <w:rFonts w:ascii="Arial" w:cs="Arial" w:eastAsia="Arial" w:hAnsi="Arial"/>
                <w:b w:val="1"/>
                <w:bCs w:val="1"/>
                <w:sz w:val="20"/>
                <w:szCs w:val="20"/>
                <w:rtl w:val="0"/>
              </w:rPr>
              <w:t xml:space="preserve">30 dias expedida pelo cartório de origem</w:t>
            </w:r>
            <w:r w:rsidDel="00000000" w:rsidR="00000000" w:rsidRPr="00000000">
              <w:rPr>
                <w:rFonts w:ascii="Arial" w:cs="Arial" w:eastAsia="Arial" w:hAnsi="Arial"/>
                <w:sz w:val="20"/>
                <w:szCs w:val="20"/>
                <w:rtl w:val="0"/>
              </w:rPr>
              <w:t xml:space="preserve">. Ela pode ser solicitada no próprio cartório de registro de imóveis presencialmente ou pelo site </w:t>
            </w:r>
            <w:hyperlink r:id="rId8">
              <w:r w:rsidDel="00000000" w:rsidR="00000000" w:rsidRPr="00000000">
                <w:rPr>
                  <w:rFonts w:ascii="Arial" w:cs="Arial" w:eastAsia="Arial" w:hAnsi="Arial"/>
                  <w:color w:val="1155cc"/>
                  <w:sz w:val="20"/>
                  <w:szCs w:val="20"/>
                  <w:u w:val="single"/>
                  <w:rtl w:val="0"/>
                </w:rPr>
                <w:t xml:space="preserve">www.ridigital.org.br</w:t>
              </w:r>
            </w:hyperlink>
            <w:r w:rsidDel="00000000" w:rsidR="00000000" w:rsidRPr="00000000">
              <w:rPr>
                <w:rFonts w:ascii="Arial" w:cs="Arial" w:eastAsia="Arial" w:hAnsi="Arial"/>
                <w:sz w:val="20"/>
                <w:szCs w:val="20"/>
                <w:rtl w:val="0"/>
              </w:rPr>
              <w:t xml:space="preserve"> ou baixe o aplicativo RI Digital.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ônus e ações do Registro de Imóveis </w:t>
            </w:r>
          </w:p>
          <w:p w:rsidR="00000000" w:rsidDel="00000000" w:rsidP="00000000" w:rsidRDefault="00000000" w:rsidRPr="00000000" w14:paraId="00000034">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1º, IV do Dec. nº 93.240/86 e art. 818 do Código de Normas do Pará </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imóvel oriundo de Transcrição, apresentar Certidões de Inteiro Teor e de Ônus atualizadas (30 dias), expedidas pelo Cartório de origem.</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Via original ou cópia autenticada da Certidão de Casamento expedida há no máximo 90 dias, contados da data do protocolo do título </w:t>
            </w:r>
          </w:p>
          <w:p w:rsidR="00000000" w:rsidDel="00000000" w:rsidP="00000000" w:rsidRDefault="00000000" w:rsidRPr="00000000" w14:paraId="00000037">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246, parágrafo único, da Lei nº 6.015/1973 c/c art. 903 do Código de Normas do Pará. </w:t>
            </w:r>
          </w:p>
          <w:p w:rsidR="00000000" w:rsidDel="00000000" w:rsidP="00000000" w:rsidRDefault="00000000" w:rsidRPr="00000000" w14:paraId="00000038">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os dados do proprietário estejam desatualizados no registro/matrícula do imóvel, deverá ser solicitada a averbação correspondente (ex.: retificação de dados pessoais, averbação de casamento, separação, divórcio ou alteração de razão social).</w:t>
            </w:r>
          </w:p>
          <w:p w:rsidR="00000000" w:rsidDel="00000000" w:rsidP="00000000" w:rsidRDefault="00000000" w:rsidRPr="00000000" w14:paraId="0000003A">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Os documentos comprobatórios devem ser apresentados em via original ou cópia autenticada em cartório.</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Escritura Pública de Pacto Antenupcial (via original).</w:t>
            </w:r>
          </w:p>
          <w:p w:rsidR="00000000" w:rsidDel="00000000" w:rsidP="00000000" w:rsidRDefault="00000000" w:rsidRPr="00000000" w14:paraId="0000003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já tenha sido registrado, deve-se informar o número do registro e a circunscrição do Registro de Imóveis onde o pacto foi registrado no Livro 3 – Registro Auxiliar.</w:t>
            </w:r>
          </w:p>
          <w:p w:rsidR="00000000" w:rsidDel="00000000" w:rsidP="00000000" w:rsidRDefault="00000000" w:rsidRPr="00000000" w14:paraId="0000003D">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833 do Código de Normas do Pará </w:t>
            </w:r>
          </w:p>
          <w:p w:rsidR="00000000" w:rsidDel="00000000" w:rsidP="00000000" w:rsidRDefault="00000000" w:rsidRPr="00000000" w14:paraId="0000003E">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casamento foi celebrado com regime de bens que exige pacto antenupcial (como separação convencional de bens, participação final nos aquestos, comunhão universal de bens, com casamento celebrado após a data de 26/12/1977 entre outros), é necessário que o pacto esteja previamente registrado no Livro 3 – Registro Auxiliar do Registro de Imóveis do domicílio conjugal dos nubentes.</w:t>
            </w:r>
          </w:p>
          <w:p w:rsidR="00000000" w:rsidDel="00000000" w:rsidP="00000000" w:rsidRDefault="00000000" w:rsidRPr="00000000" w14:paraId="0000004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esse registro, o pacto também deverá ser averbado na matrícula do imóvel (Livro 2 – Registro Geral), sendo obrigatória a apresentação da Escritura Pública de Pacto Antenupcial em via original.</w:t>
            </w:r>
          </w:p>
          <w:p w:rsidR="00000000" w:rsidDel="00000000" w:rsidP="00000000" w:rsidRDefault="00000000" w:rsidRPr="00000000" w14:paraId="0000004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 pacto já tenha sido registrado em outro Registro de Imóveis, o interessado deverá informar o número do registro e a respectiva circunscrição.</w:t>
            </w:r>
          </w:p>
          <w:p w:rsidR="00000000" w:rsidDel="00000000" w:rsidP="00000000" w:rsidRDefault="00000000" w:rsidRPr="00000000" w14:paraId="0000004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Registro do Pacto poderá ser feito em momento posterior, desde que o usuário apresente a declaração de dispensa do Registro da Escritura do Pacto Antenupcial no Livro – 3 (Auxiliar). Isto não se aplica à averbação do pacto na matrícula (Livro -2) do imóvel, sendo esta obrigatória. </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para </w:t>
            </w:r>
            <w:r w:rsidDel="00000000" w:rsidR="00000000" w:rsidRPr="00000000">
              <w:rPr>
                <w:rFonts w:ascii="Arial" w:cs="Arial" w:eastAsia="Arial" w:hAnsi="Arial"/>
                <w:b w:val="1"/>
                <w:bCs w:val="1"/>
                <w:sz w:val="20"/>
                <w:szCs w:val="20"/>
                <w:rtl w:val="0"/>
              </w:rPr>
              <w:t xml:space="preserve">averbação da qualificação objetiva (dados do imóvel)</w:t>
            </w:r>
            <w:r w:rsidDel="00000000" w:rsidR="00000000" w:rsidRPr="00000000">
              <w:rPr>
                <w:rFonts w:ascii="Arial" w:cs="Arial" w:eastAsia="Arial" w:hAnsi="Arial"/>
                <w:sz w:val="20"/>
                <w:szCs w:val="20"/>
                <w:rtl w:val="0"/>
              </w:rPr>
              <w:t xml:space="preserve">, quando houver alteração ou informação ainda não constante na matrícula (ex.: inscrição imobiliária, construção ou domínio).</w:t>
            </w:r>
          </w:p>
          <w:p w:rsidR="00000000" w:rsidDel="00000000" w:rsidP="00000000" w:rsidRDefault="00000000" w:rsidRPr="00000000" w14:paraId="00000044">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IV c/c 825 e seguintes do Código de Normas do Pará; Art. 440-AS, inc. III c/c Art. 440-AV, do Código Nacional de Normas. </w:t>
            </w:r>
          </w:p>
          <w:p w:rsidR="00000000" w:rsidDel="00000000" w:rsidP="00000000" w:rsidRDefault="00000000" w:rsidRPr="00000000" w14:paraId="00000045">
            <w:pPr>
              <w:spacing w:after="0" w:lineRule="auto"/>
              <w:jc w:val="both"/>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apresentada a Certidão de Cadastro Imobiliário do ano vigente e o espelho do IPTU do ano vigente.</w:t>
            </w:r>
          </w:p>
          <w:p w:rsidR="00000000" w:rsidDel="00000000" w:rsidP="00000000" w:rsidRDefault="00000000" w:rsidRPr="00000000" w14:paraId="0000004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Ambos os documentos podem ser emitidos eletronicamente no site da SEFIN (Secretaria de Finanças do Município de Belém), pelo link:</w:t>
            </w:r>
          </w:p>
          <w:p w:rsidR="00000000" w:rsidDel="00000000" w:rsidP="00000000" w:rsidRDefault="00000000" w:rsidRPr="00000000" w14:paraId="00000048">
            <w:pPr>
              <w:spacing w:after="0" w:lineRule="auto"/>
              <w:jc w:val="both"/>
              <w:rPr>
                <w:rFonts w:ascii="Arial" w:cs="Arial" w:eastAsia="Arial" w:hAnsi="Arial"/>
                <w:sz w:val="20"/>
                <w:szCs w:val="20"/>
              </w:rPr>
            </w:pPr>
            <w:hyperlink r:id="rId9">
              <w:r w:rsidDel="00000000" w:rsidR="00000000" w:rsidRPr="00000000">
                <w:rPr>
                  <w:rFonts w:ascii="Arial" w:cs="Arial" w:eastAsia="Arial" w:hAnsi="Arial"/>
                  <w:color w:val="1155cc"/>
                  <w:sz w:val="20"/>
                  <w:szCs w:val="20"/>
                  <w:u w:val="single"/>
                  <w:rtl w:val="0"/>
                </w:rPr>
                <w:t xml:space="preserve">http://siat.belem.pa.gov.br:8081/cadastro/pages/imobiliario/externo/imovelConsultaExterna.jsf</w:t>
              </w:r>
            </w:hyperlink>
            <w:r w:rsidDel="00000000" w:rsidR="00000000" w:rsidRPr="00000000">
              <w:rPr>
                <w:rFonts w:ascii="Arial" w:cs="Arial" w:eastAsia="Arial" w:hAnsi="Arial"/>
                <w:sz w:val="20"/>
                <w:szCs w:val="20"/>
                <w:rtl w:val="0"/>
              </w:rPr>
              <w:t xml:space="preserve">. Caso seja necessária a averbação de alguma informação do imóvel, poderão ser solicitados documentos complementares, conforme o caso.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ou certidões dos registros anteriores do imóvel que indiquem a natureza do </w:t>
            </w:r>
            <w:r w:rsidDel="00000000" w:rsidR="00000000" w:rsidRPr="00000000">
              <w:rPr>
                <w:rFonts w:ascii="Arial" w:cs="Arial" w:eastAsia="Arial" w:hAnsi="Arial"/>
                <w:b w:val="1"/>
                <w:bCs w:val="1"/>
                <w:sz w:val="20"/>
                <w:szCs w:val="20"/>
                <w:rtl w:val="0"/>
              </w:rPr>
              <w:t xml:space="preserve">domínio</w:t>
            </w:r>
            <w:r w:rsidDel="00000000" w:rsidR="00000000" w:rsidRPr="00000000">
              <w:rPr>
                <w:rFonts w:ascii="Arial" w:cs="Arial" w:eastAsia="Arial" w:hAnsi="Arial"/>
                <w:sz w:val="20"/>
                <w:szCs w:val="20"/>
                <w:rtl w:val="0"/>
              </w:rPr>
              <w:t xml:space="preserve">, quando houver.</w:t>
            </w:r>
          </w:p>
          <w:p w:rsidR="00000000" w:rsidDel="00000000" w:rsidP="00000000" w:rsidRDefault="00000000" w:rsidRPr="00000000" w14:paraId="0000004A">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440-AR do Código Nacional de Normas; Art. 825 e seguintes do Código de Normas do Pará</w:t>
            </w:r>
          </w:p>
          <w:p w:rsidR="00000000" w:rsidDel="00000000" w:rsidP="00000000" w:rsidRDefault="00000000" w:rsidRPr="00000000" w14:paraId="0000004B">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Deve-se verificar nos registros anteriores do imóvel se há informação sobre a alodialidade ou tipo de domínio, especialmente quando se tratar de domínio da União (SPU) ou do Município (CODEM).</w:t>
            </w:r>
          </w:p>
          <w:p w:rsidR="00000000" w:rsidDel="00000000" w:rsidP="00000000" w:rsidRDefault="00000000" w:rsidRPr="00000000" w14:paraId="0000004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essa informação conste nos registros anteriores, ela deverá ser reproduzida no ato indicando expressamente o tipo de domínio do imóvel.</w:t>
            </w:r>
          </w:p>
        </w:tc>
      </w:tr>
    </w:tbl>
    <w:p w:rsidR="00000000" w:rsidDel="00000000" w:rsidP="00000000" w:rsidRDefault="00000000" w:rsidRPr="00000000" w14:paraId="0000004E">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Observações complementares</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4F">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a análise da documentação apresentada, o registrador poderá solicitar documentos complementares, caso necessário, para a correta qualificação do pedido, ou seja, outros documentos poderão ser solicitados após a análise do caso concreto para a correta qualificação do título e especialização da matrícula, nos termos da legislação vigente.</w:t>
      </w:r>
    </w:p>
    <w:p w:rsidR="00000000" w:rsidDel="00000000" w:rsidP="00000000" w:rsidRDefault="00000000" w:rsidRPr="00000000" w14:paraId="00000050">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205 da Lei nº 6.015/73, caso as exigências não sejam atendidas no prazo de 20 dias do protocolo do Título, cessarão automaticamente os efeitos da prenotação.</w:t>
      </w:r>
    </w:p>
    <w:p w:rsidR="00000000" w:rsidDel="00000000" w:rsidP="00000000" w:rsidRDefault="00000000" w:rsidRPr="00000000" w14:paraId="00000051">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198 da Lei nº 6.015/73, se o interessado não concordar com a exigência ou não puder cumpri-la, poderá requerer que o título seja encaminhado ao juízo competente, acompanhado da declaração de dúvida, para que a questão seja analisada e decidida judicialmente.</w:t>
      </w:r>
    </w:p>
    <w:p w:rsidR="00000000" w:rsidDel="00000000" w:rsidP="00000000" w:rsidRDefault="00000000" w:rsidRPr="00000000" w14:paraId="00000052">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Sempre é verificado se existe outra prenotação vinculada à matrícula objeto do presente requerimento. Caso haja prenotação anterior, deverá analisar se o título ou procedimento já prenotado impede o registro do ato solicitado ou, não havendo impedimento, qual ato deve ser registrado primeiro, observando-se a ordem de prioridade. Além disso, se for identificada divergência entre as matrículas indicadas no requerimento e aquelas constantes na prenotação lançada no sistema, deverá ser realizada a correção da prenotação, com a devida anotação manuscrita no protocolo. Fundamentação: arts. 11, 12, 174, 182, 186 e 190 da Lei nº 6.015/1973 (Lei de Registros Públicos).</w:t>
      </w:r>
    </w:p>
    <w:p w:rsidR="00000000" w:rsidDel="00000000" w:rsidP="00000000" w:rsidRDefault="00000000" w:rsidRPr="00000000" w14:paraId="00000053">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realizada consulta à Central Nacional de Indisponibilidade de Bens para verificar se há indisponibilidade de bens em nome dos proprietários. Caso exista restrição, ela será prenotada e averbada na matrícula ou transcrição do imóvel, conforme as normas da Lei nº 6.015/1973 e do Código Nacional de Normas (ver Provimento CN nº 217, de 9.3.2026 e Art. 320-I, § 2º, do Código Nacional de Normas, art. 169, I, c/c art. 176, § 1º, I da Lei nº 6.015/1973).</w:t>
      </w:r>
    </w:p>
    <w:p w:rsidR="00000000" w:rsidDel="00000000" w:rsidP="00000000" w:rsidRDefault="00000000" w:rsidRPr="00000000" w14:paraId="00000054">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ACESSE OS SITES OFICIAIS PARA VERIFICAR ENDEREÇO, E-MAIL, TELEFONE E MAIS INFORMAÇÕES:</w:t>
      </w:r>
    </w:p>
    <w:sdt>
      <w:sdtPr>
        <w:lock w:val="contentLocked"/>
        <w:id w:val="-443611356"/>
        <w:tag w:val="goog_rdk_0"/>
      </w:sdtPr>
      <w:sdtContent>
        <w:tbl>
          <w:tblPr>
            <w:tblStyle w:val="Table3"/>
            <w:tblW w:w="111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05"/>
            <w:gridCol w:w="4755"/>
            <w:tblGridChange w:id="0">
              <w:tblGrid>
                <w:gridCol w:w="6405"/>
                <w:gridCol w:w="4755"/>
              </w:tblGrid>
            </w:tblGridChange>
          </w:tblGrid>
          <w:tr>
            <w:trPr>
              <w:cantSplit w:val="1"/>
              <w:trHeight w:val="180"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55">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Local</w:t>
                </w:r>
              </w:p>
            </w:tc>
            <w:tc>
              <w:tcPr>
                <w:shd w:fill="auto" w:val="clear"/>
                <w:tcMar>
                  <w:top w:w="0.0" w:type="dxa"/>
                  <w:left w:w="0.0" w:type="dxa"/>
                  <w:bottom w:w="0.0" w:type="dxa"/>
                  <w:right w:w="0.0" w:type="dxa"/>
                </w:tcMar>
                <w:vAlign w:val="center"/>
              </w:tcPr>
              <w:p w:rsidR="00000000" w:rsidDel="00000000" w:rsidP="00000000" w:rsidRDefault="00000000" w:rsidRPr="00000000" w14:paraId="00000056">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Site Oficial</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57">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ONR - RI DIGITAL - Operador Nacional do Sistema de Registro Eletrônico de Imóveis (Plataforma Oficial)</w:t>
                </w:r>
              </w:p>
            </w:tc>
            <w:tc>
              <w:tcPr>
                <w:shd w:fill="auto" w:val="clear"/>
                <w:tcMar>
                  <w:top w:w="0.0" w:type="dxa"/>
                  <w:left w:w="0.0" w:type="dxa"/>
                  <w:bottom w:w="0.0" w:type="dxa"/>
                  <w:right w:w="0.0" w:type="dxa"/>
                </w:tcMar>
                <w:vAlign w:val="center"/>
              </w:tcPr>
              <w:p w:rsidR="00000000" w:rsidDel="00000000" w:rsidP="00000000" w:rsidRDefault="00000000" w:rsidRPr="00000000" w14:paraId="00000058">
                <w:pPr>
                  <w:widowControl w:val="0"/>
                  <w:spacing w:after="0" w:line="240" w:lineRule="auto"/>
                  <w:jc w:val="center"/>
                  <w:rPr>
                    <w:rFonts w:ascii="Arial" w:cs="Arial" w:eastAsia="Arial" w:hAnsi="Arial"/>
                    <w:b w:val="1"/>
                    <w:bCs w:val="1"/>
                    <w:sz w:val="18"/>
                    <w:szCs w:val="18"/>
                  </w:rPr>
                </w:pPr>
                <w:hyperlink r:id="rId10">
                  <w:r w:rsidDel="00000000" w:rsidR="00000000" w:rsidRPr="00000000">
                    <w:rPr>
                      <w:rFonts w:ascii="Arial" w:cs="Arial" w:eastAsia="Arial" w:hAnsi="Arial"/>
                      <w:b w:val="1"/>
                      <w:bCs w:val="1"/>
                      <w:color w:val="1155cc"/>
                      <w:sz w:val="18"/>
                      <w:szCs w:val="18"/>
                      <w:u w:val="single"/>
                      <w:rtl w:val="0"/>
                    </w:rPr>
                    <w:t xml:space="preserve">https://ridigital.org.br/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59">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SEFIN - Secretaria Municipal de Finanças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5A">
                <w:pPr>
                  <w:widowControl w:val="0"/>
                  <w:spacing w:after="0" w:line="240" w:lineRule="auto"/>
                  <w:jc w:val="center"/>
                  <w:rPr>
                    <w:rFonts w:ascii="Arial" w:cs="Arial" w:eastAsia="Arial" w:hAnsi="Arial"/>
                    <w:b w:val="1"/>
                    <w:bCs w:val="1"/>
                    <w:sz w:val="18"/>
                    <w:szCs w:val="18"/>
                  </w:rPr>
                </w:pPr>
                <w:hyperlink r:id="rId11">
                  <w:r w:rsidDel="00000000" w:rsidR="00000000" w:rsidRPr="00000000">
                    <w:rPr>
                      <w:rFonts w:ascii="Arial" w:cs="Arial" w:eastAsia="Arial" w:hAnsi="Arial"/>
                      <w:b w:val="1"/>
                      <w:bCs w:val="1"/>
                      <w:color w:val="1155cc"/>
                      <w:sz w:val="18"/>
                      <w:szCs w:val="18"/>
                      <w:u w:val="single"/>
                      <w:rtl w:val="0"/>
                    </w:rPr>
                    <w:t xml:space="preserve">https://financas.belem.pa.gov.br/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5B">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CODEM - Companhia de Desenvolvimento e Administração da Área Metropolitana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5C">
                <w:pPr>
                  <w:widowControl w:val="0"/>
                  <w:spacing w:after="0" w:line="240" w:lineRule="auto"/>
                  <w:jc w:val="center"/>
                  <w:rPr>
                    <w:rFonts w:ascii="Arial" w:cs="Arial" w:eastAsia="Arial" w:hAnsi="Arial"/>
                    <w:b w:val="1"/>
                    <w:bCs w:val="1"/>
                    <w:sz w:val="18"/>
                    <w:szCs w:val="18"/>
                  </w:rPr>
                </w:pPr>
                <w:hyperlink r:id="rId12">
                  <w:r w:rsidDel="00000000" w:rsidR="00000000" w:rsidRPr="00000000">
                    <w:rPr>
                      <w:rFonts w:ascii="Arial" w:cs="Arial" w:eastAsia="Arial" w:hAnsi="Arial"/>
                      <w:b w:val="1"/>
                      <w:bCs w:val="1"/>
                      <w:color w:val="1155cc"/>
                      <w:sz w:val="18"/>
                      <w:szCs w:val="18"/>
                      <w:u w:val="single"/>
                      <w:rtl w:val="0"/>
                    </w:rPr>
                    <w:t xml:space="preserve">https://codem.belem.pa.gov.br/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5D">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Sistema de pesquisa de Atos Normativos do Conselho Nacional de Justiça tais como Regimento Interno, Resoluções, Instruções Normativas, Portarias, Provimentos, Recomendações e Enunciados. </w:t>
                </w:r>
              </w:p>
            </w:tc>
            <w:tc>
              <w:tcPr>
                <w:shd w:fill="auto" w:val="clear"/>
                <w:tcMar>
                  <w:top w:w="0.0" w:type="dxa"/>
                  <w:left w:w="0.0" w:type="dxa"/>
                  <w:bottom w:w="0.0" w:type="dxa"/>
                  <w:right w:w="0.0" w:type="dxa"/>
                </w:tcMar>
                <w:vAlign w:val="center"/>
              </w:tcPr>
              <w:p w:rsidR="00000000" w:rsidDel="00000000" w:rsidP="00000000" w:rsidRDefault="00000000" w:rsidRPr="00000000" w14:paraId="0000005E">
                <w:pPr>
                  <w:widowControl w:val="0"/>
                  <w:spacing w:after="0" w:line="240" w:lineRule="auto"/>
                  <w:jc w:val="center"/>
                  <w:rPr>
                    <w:rFonts w:ascii="Arial" w:cs="Arial" w:eastAsia="Arial" w:hAnsi="Arial"/>
                    <w:b w:val="1"/>
                    <w:bCs w:val="1"/>
                    <w:sz w:val="18"/>
                    <w:szCs w:val="18"/>
                  </w:rPr>
                </w:pPr>
                <w:hyperlink r:id="rId13">
                  <w:r w:rsidDel="00000000" w:rsidR="00000000" w:rsidRPr="00000000">
                    <w:rPr>
                      <w:rFonts w:ascii="Arial" w:cs="Arial" w:eastAsia="Arial" w:hAnsi="Arial"/>
                      <w:b w:val="1"/>
                      <w:bCs w:val="1"/>
                      <w:color w:val="1155cc"/>
                      <w:sz w:val="18"/>
                      <w:szCs w:val="18"/>
                      <w:u w:val="single"/>
                      <w:rtl w:val="0"/>
                    </w:rPr>
                    <w:t xml:space="preserve">https://www.cnj.jus.br/atos_normativos/</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5F">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ANOREG/PA - Associação dos Notários e Registradores</w:t>
                </w:r>
              </w:p>
            </w:tc>
            <w:tc>
              <w:tcPr>
                <w:shd w:fill="auto" w:val="clear"/>
                <w:tcMar>
                  <w:top w:w="0.0" w:type="dxa"/>
                  <w:left w:w="0.0" w:type="dxa"/>
                  <w:bottom w:w="0.0" w:type="dxa"/>
                  <w:right w:w="0.0" w:type="dxa"/>
                </w:tcMar>
                <w:vAlign w:val="center"/>
              </w:tcPr>
              <w:p w:rsidR="00000000" w:rsidDel="00000000" w:rsidP="00000000" w:rsidRDefault="00000000" w:rsidRPr="00000000" w14:paraId="00000060">
                <w:pPr>
                  <w:widowControl w:val="0"/>
                  <w:spacing w:after="0" w:line="240" w:lineRule="auto"/>
                  <w:jc w:val="center"/>
                  <w:rPr>
                    <w:rFonts w:ascii="Arial" w:cs="Arial" w:eastAsia="Arial" w:hAnsi="Arial"/>
                    <w:b w:val="1"/>
                    <w:bCs w:val="1"/>
                    <w:sz w:val="18"/>
                    <w:szCs w:val="18"/>
                  </w:rPr>
                </w:pPr>
                <w:hyperlink r:id="rId14">
                  <w:r w:rsidDel="00000000" w:rsidR="00000000" w:rsidRPr="00000000">
                    <w:rPr>
                      <w:rFonts w:ascii="Arial" w:cs="Arial" w:eastAsia="Arial" w:hAnsi="Arial"/>
                      <w:b w:val="1"/>
                      <w:bCs w:val="1"/>
                      <w:color w:val="1155cc"/>
                      <w:sz w:val="18"/>
                      <w:szCs w:val="18"/>
                      <w:u w:val="single"/>
                      <w:rtl w:val="0"/>
                    </w:rPr>
                    <w:t xml:space="preserve">https://cartoriosdopara.com.br/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1">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Lei Estadual 10.257/23: Tabelas de emolumentos/valores dos Serviços Notariais e de Registros 2026</w:t>
                </w:r>
              </w:p>
            </w:tc>
            <w:tc>
              <w:tcPr>
                <w:shd w:fill="auto" w:val="clear"/>
                <w:tcMar>
                  <w:top w:w="0.0" w:type="dxa"/>
                  <w:left w:w="0.0" w:type="dxa"/>
                  <w:bottom w:w="0.0" w:type="dxa"/>
                  <w:right w:w="0.0" w:type="dxa"/>
                </w:tcMar>
                <w:vAlign w:val="center"/>
              </w:tcPr>
              <w:p w:rsidR="00000000" w:rsidDel="00000000" w:rsidP="00000000" w:rsidRDefault="00000000" w:rsidRPr="00000000" w14:paraId="00000062">
                <w:pPr>
                  <w:widowControl w:val="0"/>
                  <w:spacing w:after="0" w:line="240" w:lineRule="auto"/>
                  <w:jc w:val="center"/>
                  <w:rPr>
                    <w:rFonts w:ascii="Arial" w:cs="Arial" w:eastAsia="Arial" w:hAnsi="Arial"/>
                    <w:b w:val="1"/>
                    <w:bCs w:val="1"/>
                    <w:sz w:val="18"/>
                    <w:szCs w:val="18"/>
                  </w:rPr>
                </w:pPr>
                <w:hyperlink r:id="rId15">
                  <w:r w:rsidDel="00000000" w:rsidR="00000000" w:rsidRPr="00000000">
                    <w:rPr>
                      <w:rFonts w:ascii="Arial" w:cs="Arial" w:eastAsia="Arial" w:hAnsi="Arial"/>
                      <w:b w:val="1"/>
                      <w:bCs w:val="1"/>
                      <w:color w:val="1155cc"/>
                      <w:sz w:val="18"/>
                      <w:szCs w:val="18"/>
                      <w:u w:val="single"/>
                      <w:rtl w:val="0"/>
                    </w:rPr>
                    <w:t xml:space="preserve">https://cartoriosdopara.com.br/emolumentos-geral/</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3">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Para mais informações </w:t>
                </w:r>
              </w:p>
              <w:p w:rsidR="00000000" w:rsidDel="00000000" w:rsidP="00000000" w:rsidRDefault="00000000" w:rsidRPr="00000000" w14:paraId="00000064">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aponte a câmera do seu celular e acesse o site do </w:t>
                </w:r>
              </w:p>
              <w:p w:rsidR="00000000" w:rsidDel="00000000" w:rsidP="00000000" w:rsidRDefault="00000000" w:rsidRPr="00000000" w14:paraId="00000065">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2º Ofício de Registro de Imóveis de Belém-PA:</w:t>
                </w:r>
              </w:p>
            </w:tc>
            <w:tc>
              <w:tcPr>
                <w:shd w:fill="auto" w:val="clear"/>
                <w:tcMar>
                  <w:top w:w="0.0" w:type="dxa"/>
                  <w:left w:w="0.0" w:type="dxa"/>
                  <w:bottom w:w="0.0" w:type="dxa"/>
                  <w:right w:w="0.0" w:type="dxa"/>
                </w:tcMar>
                <w:vAlign w:val="center"/>
              </w:tcPr>
              <w:p w:rsidR="00000000" w:rsidDel="00000000" w:rsidP="00000000" w:rsidRDefault="00000000" w:rsidRPr="00000000" w14:paraId="00000066">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20"/>
                    <w:szCs w:val="20"/>
                  </w:rPr>
                  <w:drawing>
                    <wp:inline distB="114300" distT="114300" distL="114300" distR="114300">
                      <wp:extent cx="782513" cy="790664"/>
                      <wp:effectExtent b="0" l="0" r="0" t="0"/>
                      <wp:docPr id="16" name="image2.png"/>
                      <a:graphic>
                        <a:graphicData uri="http://schemas.openxmlformats.org/drawingml/2006/picture">
                          <pic:pic>
                            <pic:nvPicPr>
                              <pic:cNvPr id="0" name="image2.png"/>
                              <pic:cNvPicPr preferRelativeResize="0"/>
                            </pic:nvPicPr>
                            <pic:blipFill>
                              <a:blip r:embed="rId16"/>
                              <a:srcRect b="0" l="0" r="0" t="0"/>
                              <a:stretch>
                                <a:fillRect/>
                              </a:stretch>
                            </pic:blipFill>
                            <pic:spPr>
                              <a:xfrm>
                                <a:off x="0" y="0"/>
                                <a:ext cx="782513" cy="790664"/>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67">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8">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69">
      <w:pPr>
        <w:jc w:val="both"/>
        <w:rPr>
          <w:rFonts w:ascii="Arial" w:cs="Arial" w:eastAsia="Arial" w:hAnsi="Arial"/>
          <w:b w:val="1"/>
          <w:bCs w:val="1"/>
          <w:sz w:val="20"/>
          <w:szCs w:val="20"/>
        </w:rPr>
      </w:pPr>
      <w:r w:rsidDel="00000000" w:rsidR="00000000" w:rsidRPr="00000000">
        <w:rPr>
          <w:rtl w:val="0"/>
        </w:rPr>
      </w:r>
    </w:p>
    <w:sectPr>
      <w:headerReference r:id="rId17" w:type="default"/>
      <w:footerReference r:id="rId18" w:type="default"/>
      <w:pgSz w:h="15840" w:w="12240" w:orient="portrait"/>
      <w:pgMar w:bottom="538.7007874015751" w:top="1700.7874015748032" w:left="425.1968503937008" w:right="764.8818897637813" w:header="5.669291338582678" w:footer="56.6929133858267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spacing w:before="200" w:line="335.99999999999994" w:lineRule="auto"/>
      <w:ind w:left="-1559.0551181102362" w:right="-1706.4566929133848" w:firstLine="0"/>
      <w:jc w:val="cente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-333368</wp:posOffset>
          </wp:positionH>
          <wp:positionV relativeFrom="paragraph">
            <wp:posOffset>114300</wp:posOffset>
          </wp:positionV>
          <wp:extent cx="7850063" cy="432378"/>
          <wp:effectExtent b="0" l="0" r="0" t="0"/>
          <wp:wrapNone/>
          <wp:docPr id="14"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850063" cy="432378"/>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widowControl w:val="0"/>
      <w:spacing w:after="0" w:lineRule="auto"/>
      <w:rPr>
        <w:rFonts w:ascii="Arial" w:cs="Arial" w:eastAsia="Arial" w:hAnsi="Arial"/>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247035</wp:posOffset>
          </wp:positionV>
          <wp:extent cx="1514475" cy="492586"/>
          <wp:effectExtent b="0" l="0" r="0" t="0"/>
          <wp:wrapNone/>
          <wp:docPr id="15" name="image1.png"/>
          <a:graphic>
            <a:graphicData uri="http://schemas.openxmlformats.org/drawingml/2006/picture">
              <pic:pic>
                <pic:nvPicPr>
                  <pic:cNvPr id="0" name="image1.png"/>
                  <pic:cNvPicPr preferRelativeResize="0"/>
                </pic:nvPicPr>
                <pic:blipFill>
                  <a:blip r:embed="rId1"/>
                  <a:srcRect b="23863" l="0" r="0" t="19073"/>
                  <a:stretch>
                    <a:fillRect/>
                  </a:stretch>
                </pic:blipFill>
                <pic:spPr>
                  <a:xfrm>
                    <a:off x="0" y="0"/>
                    <a:ext cx="1514475" cy="492586"/>
                  </a:xfrm>
                  <a:prstGeom prst="rect"/>
                  <a:ln/>
                </pic:spPr>
              </pic:pic>
            </a:graphicData>
          </a:graphic>
        </wp:anchor>
      </w:drawing>
    </w:r>
  </w:p>
  <w:sdt>
    <w:sdtPr>
      <w:lock w:val="contentLocked"/>
      <w:id w:val="-825900988"/>
      <w:tag w:val="goog_rdk_1"/>
    </w:sdtPr>
    <w:sdtContent>
      <w:tbl>
        <w:tblPr>
          <w:tblStyle w:val="Table4"/>
          <w:tblpPr w:leftFromText="180" w:rightFromText="180" w:topFromText="180" w:bottomFromText="180" w:vertAnchor="text" w:horzAnchor="text" w:tblpX="144.80314960629954" w:tblpY="0"/>
          <w:tblW w:w="11085.0" w:type="dxa"/>
          <w:jc w:val="left"/>
          <w:tblInd w:w="141.0" w:type="dxa"/>
          <w:tblLayout w:type="fixed"/>
          <w:tblLook w:val="0000"/>
        </w:tblPr>
        <w:tblGrid>
          <w:gridCol w:w="2550"/>
          <w:gridCol w:w="6450"/>
          <w:gridCol w:w="2085"/>
          <w:tblGridChange w:id="0">
            <w:tblGrid>
              <w:gridCol w:w="2550"/>
              <w:gridCol w:w="6450"/>
              <w:gridCol w:w="2085"/>
            </w:tblGrid>
          </w:tblGridChange>
        </w:tblGrid>
        <w:tr>
          <w:trPr>
            <w:cantSplit w:val="0"/>
            <w:trHeight w:val="435" w:hRule="atLeast"/>
            <w:tblHeader w:val="0"/>
          </w:trPr>
          <w:tc>
            <w:tcPr>
              <w:vMerge w:val="restart"/>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6B">
              <w:pPr>
                <w:spacing w:after="0" w:line="240" w:lineRule="auto"/>
                <w:ind w:right="-5"/>
                <w:jc w:val="center"/>
                <w:rPr>
                  <w:rFonts w:ascii="Arial" w:cs="Arial" w:eastAsia="Arial" w:hAnsi="Arial"/>
                  <w:sz w:val="24"/>
                  <w:szCs w:val="24"/>
                </w:rPr>
              </w:pPr>
              <w:r w:rsidDel="00000000" w:rsidR="00000000" w:rsidRPr="00000000">
                <w:rPr>
                  <w:rtl w:val="0"/>
                </w:rPr>
              </w:r>
            </w:p>
          </w:tc>
          <w:tc>
            <w:tcPr>
              <w:tcBorders>
                <w:top w:color="808080" w:space="0" w:sz="18"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6C">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Manuais, Políticas e Documentos</w:t>
              </w:r>
            </w:p>
          </w:tc>
          <w:tc>
            <w:tcPr>
              <w:vMerge w:val="restart"/>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6D">
              <w:pPr>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MPD - 025</w:t>
              </w:r>
            </w:p>
            <w:p w:rsidR="00000000" w:rsidDel="00000000" w:rsidP="00000000" w:rsidRDefault="00000000" w:rsidRPr="00000000" w14:paraId="0000006E">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Data: 10/03/2026</w:t>
              </w:r>
            </w:p>
            <w:p w:rsidR="00000000" w:rsidDel="00000000" w:rsidP="00000000" w:rsidRDefault="00000000" w:rsidRPr="00000000" w14:paraId="0000006F">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Revisão: 00</w:t>
              </w:r>
            </w:p>
            <w:p w:rsidR="00000000" w:rsidDel="00000000" w:rsidP="00000000" w:rsidRDefault="00000000" w:rsidRPr="00000000" w14:paraId="00000070">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Página 1 de </w:t>
              </w:r>
              <w:r w:rsidDel="00000000" w:rsidR="00000000" w:rsidRPr="00000000">
                <w:rPr>
                  <w:rFonts w:ascii="Arial" w:cs="Arial" w:eastAsia="Arial" w:hAnsi="Arial"/>
                  <w:sz w:val="14"/>
                  <w:szCs w:val="14"/>
                </w:rPr>
                <w:fldChar w:fldCharType="begin"/>
                <w:instrText xml:space="preserve">NUMPAGES</w:instrText>
                <w:fldChar w:fldCharType="separate"/>
                <w:fldChar w:fldCharType="end"/>
              </w:r>
              <w:r w:rsidDel="00000000" w:rsidR="00000000" w:rsidRPr="00000000">
                <w:rPr>
                  <w:rtl w:val="0"/>
                </w:rPr>
              </w:r>
            </w:p>
          </w:tc>
        </w:tr>
        <w:tr>
          <w:trPr>
            <w:cantSplit w:val="0"/>
            <w:trHeight w:val="402.978515625" w:hRule="atLeast"/>
            <w:tblHeader w:val="0"/>
          </w:trPr>
          <w:tc>
            <w:tcPr>
              <w:vMerge w:val="continue"/>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4"/>
                  <w:szCs w:val="14"/>
                </w:rPr>
              </w:pPr>
              <w:r w:rsidDel="00000000" w:rsidR="00000000" w:rsidRPr="00000000">
                <w:rPr>
                  <w:rtl w:val="0"/>
                </w:rPr>
              </w:r>
            </w:p>
          </w:tc>
          <w:tc>
            <w:tcPr>
              <w:tcBorders>
                <w:top w:color="808080" w:space="0" w:sz="6" w:val="single"/>
                <w:left w:color="808080" w:space="0" w:sz="6" w:val="single"/>
                <w:bottom w:color="808080" w:space="0" w:sz="18" w:val="single"/>
                <w:right w:color="808080" w:space="0" w:sz="6" w:val="single"/>
              </w:tcBorders>
              <w:vAlign w:val="center"/>
            </w:tcPr>
            <w:p w:rsidR="00000000" w:rsidDel="00000000" w:rsidP="00000000" w:rsidRDefault="00000000" w:rsidRPr="00000000" w14:paraId="00000072">
              <w:pPr>
                <w:spacing w:after="0" w:line="240" w:lineRule="auto"/>
                <w:jc w:val="center"/>
                <w:rPr>
                  <w:rFonts w:ascii="Arial" w:cs="Arial" w:eastAsia="Arial" w:hAnsi="Arial"/>
                  <w:b w:val="1"/>
                  <w:bCs w:val="1"/>
                  <w:smallCaps w:val="1"/>
                </w:rPr>
              </w:pPr>
              <w:r w:rsidDel="00000000" w:rsidR="00000000" w:rsidRPr="00000000">
                <w:rPr>
                  <w:rFonts w:ascii="Arial" w:cs="Arial" w:eastAsia="Arial" w:hAnsi="Arial"/>
                  <w:b w:val="1"/>
                  <w:bCs w:val="1"/>
                  <w:smallCaps w:val="1"/>
                  <w:rtl w:val="0"/>
                </w:rPr>
                <w:t xml:space="preserve">DOCUMENTOS PARA O CLIENTE</w:t>
              </w:r>
            </w:p>
          </w:tc>
          <w:tc>
            <w:tcPr>
              <w:vMerge w:val="continue"/>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mallCaps w:val="1"/>
                </w:rPr>
              </w:pPr>
              <w:r w:rsidDel="00000000" w:rsidR="00000000" w:rsidRPr="00000000">
                <w:rPr>
                  <w:rtl w:val="0"/>
                </w:rPr>
              </w:r>
            </w:p>
          </w:tc>
        </w:tr>
      </w:tbl>
    </w:sdtContent>
  </w:sdt>
  <w:p w:rsidR="00000000" w:rsidDel="00000000" w:rsidP="00000000" w:rsidRDefault="00000000" w:rsidRPr="00000000" w14:paraId="00000074">
    <w:pPr>
      <w:spacing w:after="0" w:line="240" w:lineRule="auto"/>
      <w:rPr>
        <w:rFonts w:ascii="Arial" w:cs="Arial" w:eastAsia="Arial" w:hAnsi="Arial"/>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financas.belem.pa.gov.br/" TargetMode="External"/><Relationship Id="rId10" Type="http://schemas.openxmlformats.org/officeDocument/2006/relationships/hyperlink" Target="https://ridigital.org.br/" TargetMode="External"/><Relationship Id="rId13" Type="http://schemas.openxmlformats.org/officeDocument/2006/relationships/hyperlink" Target="https://www.cnj.jus.br/atos_normativos/" TargetMode="External"/><Relationship Id="rId12" Type="http://schemas.openxmlformats.org/officeDocument/2006/relationships/hyperlink" Target="https://codem.belem.pa.gov.b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at.belem.pa.gov.br:8081/cadastro/pages/imobiliario/externo/imovelConsultaExterna.jsf" TargetMode="External"/><Relationship Id="rId15" Type="http://schemas.openxmlformats.org/officeDocument/2006/relationships/hyperlink" Target="https://cartoriosdopara.com.br/emolumentos-geral/" TargetMode="External"/><Relationship Id="rId14" Type="http://schemas.openxmlformats.org/officeDocument/2006/relationships/hyperlink" Target="https://cartoriosdopara.com.br/" TargetMode="External"/><Relationship Id="rId17" Type="http://schemas.openxmlformats.org/officeDocument/2006/relationships/header" Target="header1.xml"/><Relationship Id="rId16"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hyperlink" Target="http://www.2sribelem.com.br" TargetMode="External"/><Relationship Id="rId8" Type="http://schemas.openxmlformats.org/officeDocument/2006/relationships/hyperlink" Target="http://www.ridigital.org.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Nzk3qvfJks3JRWk6clxIdSX/PA==">CgMxLjAaHwoBMBIaChgICVIUChJ0YWJsZS53bDBzbzVucDE1N3EaHwoBMRIaChgICVIUChJ0YWJsZS41eTA1cmY2bDcxZGc4AHIhMU5FejROdDg5ZzUwVDFyS0licFNoa3BITFlEX1hSZ2Ro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