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spacing w:after="0" w:before="0" w:line="240" w:lineRule="auto"/>
        <w:ind w:right="-29.527559055116512"/>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HISTÓRICO DAS REVISÕES</w:t>
      </w:r>
      <w:r w:rsidDel="00000000" w:rsidR="00000000" w:rsidRPr="00000000">
        <w:rPr>
          <w:rtl w:val="0"/>
        </w:rPr>
      </w:r>
    </w:p>
    <w:p w:rsidR="00000000" w:rsidDel="00000000" w:rsidP="00000000" w:rsidRDefault="00000000" w:rsidRPr="00000000" w14:paraId="00000002">
      <w:pPr>
        <w:widowControl w:val="1"/>
        <w:spacing w:after="0" w:before="0" w:line="240" w:lineRule="auto"/>
        <w:ind w:right="-29.527559055116512"/>
        <w:jc w:val="both"/>
        <w:rPr>
          <w:rFonts w:ascii="Arial" w:cs="Arial" w:eastAsia="Arial" w:hAnsi="Arial"/>
        </w:rPr>
      </w:pPr>
      <w:r w:rsidDel="00000000" w:rsidR="00000000" w:rsidRPr="00000000">
        <w:rPr>
          <w:rFonts w:ascii="Arial" w:cs="Arial" w:eastAsia="Arial" w:hAnsi="Arial"/>
          <w:sz w:val="18"/>
          <w:szCs w:val="18"/>
          <w:rtl w:val="0"/>
        </w:rPr>
        <w:t xml:space="preserve">Este documento teve sua primeira versão elaborada em 10/03/2026, com base nas descrições previstas legalmente e nas definições do Oficial do Segundo Ofício de Registro de Imóveis de Belém-PA.</w:t>
      </w:r>
      <w:r w:rsidDel="00000000" w:rsidR="00000000" w:rsidRPr="00000000">
        <w:rPr>
          <w:rtl w:val="0"/>
        </w:rPr>
      </w:r>
    </w:p>
    <w:tbl>
      <w:tblPr>
        <w:tblStyle w:val="Table1"/>
        <w:tblW w:w="11055.11811023622" w:type="dxa"/>
        <w:jc w:val="left"/>
        <w:tblInd w:w="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85.039370078741"/>
        <w:gridCol w:w="3685.039370078741"/>
        <w:gridCol w:w="3685.039370078741"/>
        <w:tblGridChange w:id="0">
          <w:tblGrid>
            <w:gridCol w:w="3685.039370078741"/>
            <w:gridCol w:w="3685.039370078741"/>
            <w:gridCol w:w="3685.039370078741"/>
          </w:tblGrid>
        </w:tblGridChange>
      </w:tblGrid>
      <w:tr>
        <w:trPr>
          <w:cantSplit w:val="0"/>
          <w:trHeight w:val="303.984375" w:hRule="atLeast"/>
          <w:tblHeader w:val="0"/>
        </w:trPr>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3">
            <w:pPr>
              <w:widowControl w:val="1"/>
              <w:spacing w:after="0" w:before="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Revisão Nº</w:t>
            </w:r>
          </w:p>
        </w:tc>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4">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Natureza da Alteração</w:t>
            </w:r>
          </w:p>
        </w:tc>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5">
            <w:pPr>
              <w:widowControl w:val="1"/>
              <w:spacing w:after="0" w:before="0" w:line="240" w:lineRule="auto"/>
              <w:ind w:right="-20"/>
              <w:jc w:val="cente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Data</w:t>
            </w:r>
          </w:p>
        </w:tc>
      </w:tr>
      <w:tr>
        <w:trPr>
          <w:cantSplit w:val="0"/>
          <w:trHeight w:val="180.3624125269148"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6">
            <w:pPr>
              <w:widowControl w:val="1"/>
              <w:spacing w:after="0" w:before="0" w:lin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7">
            <w:pPr>
              <w:spacing w:after="0" w:line="240" w:lineRule="auto"/>
              <w:ind w:right="-20"/>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8">
            <w:pPr>
              <w:widowControl w:val="1"/>
              <w:spacing w:after="0" w:before="0" w:lin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r>
      <w:tr>
        <w:trPr>
          <w:cantSplit w:val="0"/>
          <w:trHeight w:val="180.3624125269148"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9">
            <w:pPr>
              <w:widowControl w:val="1"/>
              <w:tabs>
                <w:tab w:val="center" w:leader="none" w:pos="4252"/>
                <w:tab w:val="right" w:leader="none" w:pos="8504"/>
              </w:tabs>
              <w:spacing w:after="0" w:before="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Elaborado por: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A">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Revisado por: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B">
            <w:pPr>
              <w:widowControl w:val="1"/>
              <w:tabs>
                <w:tab w:val="center" w:leader="none" w:pos="4252"/>
                <w:tab w:val="right" w:leader="none" w:pos="8504"/>
              </w:tabs>
              <w:spacing w:after="0" w:before="0" w:line="240" w:lineRule="auto"/>
              <w:ind w:right="-20"/>
              <w:jc w:val="both"/>
              <w:rPr>
                <w:rFonts w:ascii="Arial" w:cs="Arial" w:eastAsia="Arial" w:hAnsi="Arial"/>
                <w:sz w:val="16"/>
                <w:szCs w:val="16"/>
              </w:rPr>
            </w:pPr>
            <w:r w:rsidDel="00000000" w:rsidR="00000000" w:rsidRPr="00000000">
              <w:rPr>
                <w:rFonts w:ascii="Arial" w:cs="Arial" w:eastAsia="Arial" w:hAnsi="Arial"/>
                <w:b w:val="1"/>
                <w:bCs w:val="1"/>
                <w:sz w:val="16"/>
                <w:szCs w:val="16"/>
                <w:rtl w:val="0"/>
              </w:rPr>
              <w:t xml:space="preserve">Aprovado por:</w:t>
            </w:r>
            <w:r w:rsidDel="00000000" w:rsidR="00000000" w:rsidRPr="00000000">
              <w:rPr>
                <w:rtl w:val="0"/>
              </w:rPr>
            </w:r>
          </w:p>
        </w:tc>
      </w:tr>
      <w:tr>
        <w:trPr>
          <w:cantSplit w:val="0"/>
          <w:trHeight w:val="288.984375"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C">
            <w:pPr>
              <w:spacing w:after="0" w:line="240" w:lineRule="auto"/>
              <w:rPr>
                <w:rFonts w:ascii="Arial" w:cs="Arial" w:eastAsia="Arial" w:hAnsi="Arial"/>
                <w:b w:val="1"/>
                <w:bCs w:val="1"/>
                <w:sz w:val="16"/>
                <w:szCs w:val="16"/>
              </w:rPr>
            </w:pPr>
            <w:r w:rsidDel="00000000" w:rsidR="00000000" w:rsidRPr="00000000">
              <w:rPr>
                <w:rFonts w:ascii="Arial" w:cs="Arial" w:eastAsia="Arial" w:hAnsi="Arial"/>
                <w:sz w:val="16"/>
                <w:szCs w:val="16"/>
                <w:rtl w:val="0"/>
              </w:rPr>
              <w:t xml:space="preserve">Brenda Letícia Silva Gomes Bacelar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D">
            <w:pPr>
              <w:spacing w:after="0" w:line="240" w:lineRule="auto"/>
              <w:ind w:right="-20"/>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Dra. Monique Braga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E">
            <w:pPr>
              <w:tabs>
                <w:tab w:val="center" w:leader="none" w:pos="4252"/>
                <w:tab w:val="right" w:leader="none" w:pos="8504"/>
              </w:tabs>
              <w:spacing w:after="0" w:line="240" w:lineRule="auto"/>
              <w:rPr>
                <w:rFonts w:ascii="Arial" w:cs="Arial" w:eastAsia="Arial" w:hAnsi="Arial"/>
                <w:b w:val="1"/>
                <w:bCs w:val="1"/>
                <w:sz w:val="16"/>
                <w:szCs w:val="16"/>
              </w:rPr>
            </w:pPr>
            <w:r w:rsidDel="00000000" w:rsidR="00000000" w:rsidRPr="00000000">
              <w:rPr>
                <w:rFonts w:ascii="Arial" w:cs="Arial" w:eastAsia="Arial" w:hAnsi="Arial"/>
                <w:sz w:val="16"/>
                <w:szCs w:val="16"/>
                <w:rtl w:val="0"/>
              </w:rPr>
              <w:t xml:space="preserve">Dr. Flavio Heleno Pereira de Sousa</w:t>
            </w:r>
            <w:r w:rsidDel="00000000" w:rsidR="00000000" w:rsidRPr="00000000">
              <w:rPr>
                <w:rtl w:val="0"/>
              </w:rPr>
            </w:r>
          </w:p>
        </w:tc>
      </w:tr>
    </w:tbl>
    <w:p w:rsidR="00000000" w:rsidDel="00000000" w:rsidP="00000000" w:rsidRDefault="00000000" w:rsidRPr="00000000" w14:paraId="0000000F">
      <w:pPr>
        <w:pStyle w:val="Heading1"/>
        <w:spacing w:before="0"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0">
      <w:pPr>
        <w:pStyle w:val="Heading1"/>
        <w:spacing w:before="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CHECKLIST PARA O CLIENTE - DESCARACTERIZAÇÃO DE IMÓVEL RURAL</w:t>
      </w:r>
    </w:p>
    <w:p w:rsidR="00000000" w:rsidDel="00000000" w:rsidP="00000000" w:rsidRDefault="00000000" w:rsidRPr="00000000" w14:paraId="00000011">
      <w:pPr>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PREVISÃO LEGAL: ARTS. 225 E 246 DA LEI Nº 6.015/1973 (LEI DE REGISTROS PÚBLICOS); INSTRUÇÃO NORMATIVA INCRA Nº 82/2015; ARTIGOS DO CÓDIGO DE NORMAS E SERVIÇOS NOTARIAIS E DE REGISTRO ESTADUAL (TJPA); CÓDIGO NACIONAL DE NORMAS DA CORREGEDORIA NACIONAL DE JUSTIÇA DO CONSELHO NACIONAL DE JUSTIÇA -  FORO EXTRAJUDICIAL (CNN/ CN/CNJ-EXTRA) - PROVIMENTO Nº 149/2023</w:t>
      </w:r>
    </w:p>
    <w:p w:rsidR="00000000" w:rsidDel="00000000" w:rsidP="00000000" w:rsidRDefault="00000000" w:rsidRPr="00000000" w14:paraId="00000012">
      <w:pPr>
        <w:spacing w:after="0" w:lineRule="auto"/>
        <w:jc w:val="both"/>
        <w:rPr>
          <w:rFonts w:ascii="Arial" w:cs="Arial" w:eastAsia="Arial" w:hAnsi="Arial"/>
          <w:sz w:val="20"/>
          <w:szCs w:val="20"/>
        </w:rPr>
      </w:pPr>
      <w:r w:rsidDel="00000000" w:rsidR="00000000" w:rsidRPr="00000000">
        <w:rPr>
          <w:rFonts w:ascii="Arial" w:cs="Arial" w:eastAsia="Arial" w:hAnsi="Arial"/>
          <w:b w:val="1"/>
          <w:bCs w:val="1"/>
          <w:sz w:val="18"/>
          <w:szCs w:val="18"/>
          <w:rtl w:val="0"/>
        </w:rPr>
        <w:t xml:space="preserve">CONCEITO</w:t>
      </w:r>
      <w:r w:rsidDel="00000000" w:rsidR="00000000" w:rsidRPr="00000000">
        <w:rPr>
          <w:rFonts w:ascii="Arial" w:cs="Arial" w:eastAsia="Arial" w:hAnsi="Arial"/>
          <w:sz w:val="18"/>
          <w:szCs w:val="18"/>
          <w:rtl w:val="0"/>
        </w:rPr>
        <w:t xml:space="preserve">: Este checklist tem o objetivo de orientar o cliente sobre os documentos necessários para o pedido de descaracterização de imóvel rural. Marque os itens já providenciados e utilize as observações para saber onde e como obter cada documento.</w:t>
      </w:r>
      <w:r w:rsidDel="00000000" w:rsidR="00000000" w:rsidRPr="00000000">
        <w:rPr>
          <w:rtl w:val="0"/>
        </w:rPr>
      </w:r>
    </w:p>
    <w:tbl>
      <w:tblPr>
        <w:tblStyle w:val="Table2"/>
        <w:tblW w:w="11400.0" w:type="dxa"/>
        <w:jc w:val="left"/>
        <w:tblInd w:w="12.99212598425185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70"/>
        <w:gridCol w:w="5730"/>
        <w:tblGridChange w:id="0">
          <w:tblGrid>
            <w:gridCol w:w="5670"/>
            <w:gridCol w:w="5730"/>
          </w:tblGrid>
        </w:tblGridChange>
      </w:tblGrid>
      <w:tr>
        <w:trPr>
          <w:cantSplit w:val="1"/>
          <w:tblHeader w:val="0"/>
        </w:trPr>
        <w:tc>
          <w:tcPr>
            <w:tcBorders>
              <w:top w:color="17365d" w:space="0" w:sz="4" w:val="single"/>
              <w:left w:color="17365d" w:space="0" w:sz="4" w:val="single"/>
              <w:bottom w:color="17365d" w:space="0" w:sz="4" w:val="single"/>
              <w:right w:color="17365d" w:space="0" w:sz="4" w:val="single"/>
            </w:tcBorders>
            <w:shd w:fill="cfe2f3" w:val="clear"/>
          </w:tcPr>
          <w:p w:rsidR="00000000" w:rsidDel="00000000" w:rsidP="00000000" w:rsidRDefault="00000000" w:rsidRPr="00000000" w14:paraId="00000013">
            <w:pPr>
              <w:spacing w:after="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Documento / Item</w:t>
            </w:r>
          </w:p>
        </w:tc>
        <w:tc>
          <w:tcPr>
            <w:tcBorders>
              <w:top w:color="17365d" w:space="0" w:sz="4" w:val="single"/>
              <w:left w:color="17365d" w:space="0" w:sz="4" w:val="single"/>
              <w:bottom w:color="17365d" w:space="0" w:sz="4" w:val="single"/>
              <w:right w:color="17365d" w:space="0" w:sz="4" w:val="single"/>
            </w:tcBorders>
            <w:shd w:fill="cfe2f3" w:val="clear"/>
          </w:tcPr>
          <w:p w:rsidR="00000000" w:rsidDel="00000000" w:rsidP="00000000" w:rsidRDefault="00000000" w:rsidRPr="00000000" w14:paraId="00000014">
            <w:pPr>
              <w:spacing w:after="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Observação ao Cliente</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5">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Requerimento solicitando a averbação</w:t>
            </w:r>
          </w:p>
          <w:p w:rsidR="00000000" w:rsidDel="00000000" w:rsidP="00000000" w:rsidRDefault="00000000" w:rsidRPr="00000000" w14:paraId="00000016">
            <w:pPr>
              <w:spacing w:after="0" w:lineRule="auto"/>
              <w:ind w:left="0" w:firstLine="0"/>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13, inciso II; art. 222; art. 221, inciso II; art. 250, II,  da Lei nº 6.015/1973</w:t>
            </w:r>
          </w:p>
          <w:p w:rsidR="00000000" w:rsidDel="00000000" w:rsidP="00000000" w:rsidRDefault="00000000" w:rsidRPr="00000000" w14:paraId="00000017">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8">
            <w:pPr>
              <w:spacing w:after="0" w:lineRule="auto"/>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 requerimento deverá ser assinado pelo(s) interessado(s) que, em regra, é(são) o(s) proprietário(s) titular(es) do direito real garantido pelo registro a ser retificado. </w:t>
            </w:r>
          </w:p>
          <w:p w:rsidR="00000000" w:rsidDel="00000000" w:rsidP="00000000" w:rsidRDefault="00000000" w:rsidRPr="00000000" w14:paraId="0000001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Todas as assinaturas apostas no requerimento deverão ser reconhecidas por tabelião no cartório de notas. </w:t>
            </w:r>
          </w:p>
          <w:p w:rsidR="00000000" w:rsidDel="00000000" w:rsidP="00000000" w:rsidRDefault="00000000" w:rsidRPr="00000000" w14:paraId="0000001B">
            <w:pPr>
              <w:spacing w:after="0" w:lineRule="auto"/>
              <w:jc w:val="both"/>
              <w:rPr>
                <w:rFonts w:ascii="Arial" w:cs="Arial" w:eastAsia="Arial" w:hAnsi="Arial"/>
                <w:b w:val="1"/>
                <w:bCs w:val="1"/>
                <w:i w:val="1"/>
                <w:iCs w:val="1"/>
                <w:sz w:val="20"/>
                <w:szCs w:val="20"/>
              </w:rPr>
            </w:pPr>
            <w:r w:rsidDel="00000000" w:rsidR="00000000" w:rsidRPr="00000000">
              <w:rPr>
                <w:rFonts w:ascii="Arial" w:cs="Arial" w:eastAsia="Arial" w:hAnsi="Arial"/>
                <w:b w:val="1"/>
                <w:bCs w:val="1"/>
                <w:i w:val="1"/>
                <w:iCs w:val="1"/>
                <w:sz w:val="18"/>
                <w:szCs w:val="18"/>
                <w:rtl w:val="0"/>
              </w:rPr>
              <w:t xml:space="preserve">- Requerimento disponível no site </w:t>
            </w:r>
            <w:hyperlink r:id="rId7">
              <w:r w:rsidDel="00000000" w:rsidR="00000000" w:rsidRPr="00000000">
                <w:rPr>
                  <w:rFonts w:ascii="Arial" w:cs="Arial" w:eastAsia="Arial" w:hAnsi="Arial"/>
                  <w:b w:val="1"/>
                  <w:bCs w:val="1"/>
                  <w:i w:val="1"/>
                  <w:iCs w:val="1"/>
                  <w:color w:val="1155cc"/>
                  <w:sz w:val="18"/>
                  <w:szCs w:val="18"/>
                  <w:u w:val="single"/>
                  <w:rtl w:val="0"/>
                </w:rPr>
                <w:t xml:space="preserve">www.2sribelem.com.br</w:t>
              </w:r>
            </w:hyperlink>
            <w:r w:rsidDel="00000000" w:rsidR="00000000" w:rsidRPr="00000000">
              <w:rPr>
                <w:rFonts w:ascii="Arial" w:cs="Arial" w:eastAsia="Arial" w:hAnsi="Arial"/>
                <w:b w:val="1"/>
                <w:bCs w:val="1"/>
                <w:i w:val="1"/>
                <w:iCs w:val="1"/>
                <w:sz w:val="18"/>
                <w:szCs w:val="18"/>
                <w:rtl w:val="0"/>
              </w:rPr>
              <w:t xml:space="preserve"> ou no atendimento presencialmente.</w:t>
            </w:r>
            <w:r w:rsidDel="00000000" w:rsidR="00000000" w:rsidRPr="00000000">
              <w:rPr>
                <w:rtl w:val="0"/>
              </w:rPr>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C">
            <w:pPr>
              <w:spacing w:after="0" w:lineRule="auto"/>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 Se o Requerimento solicitando a averbação for apresentado em </w:t>
            </w:r>
            <w:r w:rsidDel="00000000" w:rsidR="00000000" w:rsidRPr="00000000">
              <w:rPr>
                <w:rFonts w:ascii="Arial" w:cs="Arial" w:eastAsia="Arial" w:hAnsi="Arial"/>
                <w:b w:val="1"/>
                <w:bCs w:val="1"/>
                <w:sz w:val="20"/>
                <w:szCs w:val="20"/>
                <w:rtl w:val="0"/>
              </w:rPr>
              <w:t xml:space="preserve">formato eletrônico</w:t>
            </w:r>
          </w:p>
          <w:p w:rsidR="00000000" w:rsidDel="00000000" w:rsidP="00000000" w:rsidRDefault="00000000" w:rsidRPr="00000000" w14:paraId="0000001D">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208, II c/c art. 210 do Provimento nº 149/2023 do CNJ e Provimento nº 180/2024 do CNJ</w:t>
            </w:r>
          </w:p>
          <w:p w:rsidR="00000000" w:rsidDel="00000000" w:rsidP="00000000" w:rsidRDefault="00000000" w:rsidRPr="00000000" w14:paraId="0000001E">
            <w:pPr>
              <w:spacing w:after="0" w:lineRule="auto"/>
              <w:rPr>
                <w:rFonts w:ascii="Arial" w:cs="Arial" w:eastAsia="Arial" w:hAnsi="Arial"/>
                <w:i w:val="1"/>
                <w:iCs w:val="1"/>
                <w:sz w:val="16"/>
                <w:szCs w:val="16"/>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Deverá ser estruturado eletronicamente e estar assinado digitalmente com assinatura eletrônica avançada ou qualificada, por todas as partes, com uso de certificado emitido com os requisitos da Infraestrutura de Chaves Públicas Brasileira (ICP-Brasil), ou avançadas, por meio do “e-Notariado” ou do “Portal Gov.br”.</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0">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Documento de identificação do proprietário (se for </w:t>
            </w:r>
            <w:r w:rsidDel="00000000" w:rsidR="00000000" w:rsidRPr="00000000">
              <w:rPr>
                <w:rFonts w:ascii="Arial" w:cs="Arial" w:eastAsia="Arial" w:hAnsi="Arial"/>
                <w:b w:val="1"/>
                <w:bCs w:val="1"/>
                <w:sz w:val="20"/>
                <w:szCs w:val="20"/>
                <w:rtl w:val="0"/>
              </w:rPr>
              <w:t xml:space="preserve">pessoa física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1">
            <w:pPr>
              <w:spacing w:after="0" w:lineRule="auto"/>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§1º, item 4, alínea a, da Lei nº 6.015/1973.</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necessário apresentar qualificação subjetiva completa, contendo: Nome completo (sem abreviações), nacionalidade, estado civil, profissão, domicílio ou residência, número de inscrição no Cadastro de Pessoas Físicas (CPF), número do documento oficial de identidade (RG) ou, na ausência deste, filiação. Se casado, informar também o nome completo e a qualificação do cônjuge, o regime de bens do casamento e a data em que foi celebrado, indicando se ocorreu antes ou depois da Lei nº 6.515, de 26 de dezembro de 1977.</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3">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Documento de identificação do proprietário (se for </w:t>
            </w:r>
            <w:r w:rsidDel="00000000" w:rsidR="00000000" w:rsidRPr="00000000">
              <w:rPr>
                <w:rFonts w:ascii="Arial" w:cs="Arial" w:eastAsia="Arial" w:hAnsi="Arial"/>
                <w:b w:val="1"/>
                <w:bCs w:val="1"/>
                <w:sz w:val="20"/>
                <w:szCs w:val="20"/>
                <w:rtl w:val="0"/>
              </w:rPr>
              <w:t xml:space="preserve">pessoa jurídica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4">
            <w:pPr>
              <w:spacing w:after="0" w:lineRule="auto"/>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§1º, item 4, alínea b, da Lei nº 6.015/1973; artigo 661, §1º, do Código Civil</w:t>
            </w:r>
            <w:r w:rsidDel="00000000" w:rsidR="00000000" w:rsidRPr="00000000">
              <w:rPr>
                <w:rtl w:val="0"/>
              </w:rPr>
            </w:r>
          </w:p>
          <w:p w:rsidR="00000000" w:rsidDel="00000000" w:rsidP="00000000" w:rsidRDefault="00000000" w:rsidRPr="00000000" w14:paraId="00000025">
            <w:pPr>
              <w:spacing w:after="0" w:lineRule="auto"/>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6">
            <w:pPr>
              <w:spacing w:after="0" w:lineRule="auto"/>
              <w:jc w:val="both"/>
              <w:rPr>
                <w:rFonts w:ascii="Arial" w:cs="Arial" w:eastAsia="Arial" w:hAnsi="Arial"/>
                <w:b w:val="1"/>
                <w:bCs w:val="1"/>
              </w:rPr>
            </w:pPr>
            <w:r w:rsidDel="00000000" w:rsidR="00000000" w:rsidRPr="00000000">
              <w:rPr>
                <w:rFonts w:ascii="Arial" w:cs="Arial" w:eastAsia="Arial" w:hAnsi="Arial"/>
                <w:sz w:val="20"/>
                <w:szCs w:val="20"/>
                <w:rtl w:val="0"/>
              </w:rPr>
              <w:t xml:space="preserve">Se representada por administrador ou diretor, deverá ser apresentado o contrato social consolidado e eventuais alterações posteriores, se houver,</w:t>
            </w:r>
            <w:r w:rsidDel="00000000" w:rsidR="00000000" w:rsidRPr="00000000">
              <w:rPr>
                <w:rFonts w:ascii="Arial" w:cs="Arial" w:eastAsia="Arial" w:hAnsi="Arial"/>
                <w:b w:val="1"/>
                <w:bCs w:val="1"/>
                <w:rtl w:val="0"/>
              </w:rPr>
              <w:t xml:space="preserve"> ou</w:t>
            </w:r>
          </w:p>
          <w:p w:rsidR="00000000" w:rsidDel="00000000" w:rsidP="00000000" w:rsidRDefault="00000000" w:rsidRPr="00000000" w14:paraId="00000027">
            <w:pPr>
              <w:spacing w:after="0" w:lineRule="auto"/>
              <w:jc w:val="both"/>
              <w:rPr>
                <w:rFonts w:ascii="Arial" w:cs="Arial" w:eastAsia="Arial" w:hAnsi="Arial"/>
                <w:b w:val="1"/>
                <w:bCs w:val="1"/>
              </w:rPr>
            </w:pPr>
            <w:r w:rsidDel="00000000" w:rsidR="00000000" w:rsidRPr="00000000">
              <w:rPr>
                <w:rFonts w:ascii="Arial" w:cs="Arial" w:eastAsia="Arial" w:hAnsi="Arial"/>
                <w:sz w:val="20"/>
                <w:szCs w:val="20"/>
                <w:rtl w:val="0"/>
              </w:rPr>
              <w:t xml:space="preserve">Deve ser apresentado o Estatuto Social e a Ata de Assembleia de Eleição da Diretoria com o código de verificação para validação no site da Junta Comercial, quando aplicável,</w:t>
            </w: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b w:val="1"/>
                <w:bCs w:val="1"/>
                <w:rtl w:val="0"/>
              </w:rPr>
              <w:t xml:space="preserve">ou estar </w:t>
            </w:r>
          </w:p>
          <w:p w:rsidR="00000000" w:rsidDel="00000000" w:rsidP="00000000" w:rsidRDefault="00000000" w:rsidRPr="00000000" w14:paraId="0000002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Acompanhado de certidão de registro dos atos emitida pelo Registro Civil das Pessoas Jurídicas.</w:t>
            </w:r>
          </w:p>
          <w:p w:rsidR="00000000" w:rsidDel="00000000" w:rsidP="00000000" w:rsidRDefault="00000000" w:rsidRPr="00000000" w14:paraId="0000002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Havendo mais de um administrador, bastará a assinatura de qualquer um deles, desde que não exista previsão em contrário no seu ato constitutivo</w:t>
            </w:r>
          </w:p>
          <w:p w:rsidR="00000000" w:rsidDel="00000000" w:rsidP="00000000" w:rsidRDefault="00000000" w:rsidRPr="00000000" w14:paraId="0000002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Os documentos podem ser apresentados na via original ou em cópia autenticada. </w:t>
            </w:r>
          </w:p>
          <w:p w:rsidR="00000000" w:rsidDel="00000000" w:rsidP="00000000" w:rsidRDefault="00000000" w:rsidRPr="00000000" w14:paraId="0000002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pessoa jurídica: informar a razão social, a sede ou endereço e o número de inscrição no CNPJ. É obrigatória a inscrição no CNPJ das pessoas jurídicas domiciliadas no exterior que possuam imóveis no País ou direitos reais a eles relativos.</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C">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Procuração válida (se houver representante)</w:t>
            </w:r>
          </w:p>
          <w:p w:rsidR="00000000" w:rsidDel="00000000" w:rsidP="00000000" w:rsidRDefault="00000000" w:rsidRPr="00000000" w14:paraId="0000002D">
            <w:pPr>
              <w:spacing w:after="0" w:lineRule="auto"/>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 661, §1º, artigo 1.018 do Código Civil</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pedido for feito por representante, apresentar procuração</w:t>
            </w:r>
            <w:r w:rsidDel="00000000" w:rsidR="00000000" w:rsidRPr="00000000">
              <w:rPr>
                <w:rFonts w:ascii="Arial" w:cs="Arial" w:eastAsia="Arial" w:hAnsi="Arial"/>
                <w:b w:val="1"/>
                <w:bCs w:val="1"/>
                <w:sz w:val="20"/>
                <w:szCs w:val="20"/>
                <w:rtl w:val="0"/>
              </w:rPr>
              <w:t xml:space="preserve"> original ou cópia autenticada</w:t>
            </w:r>
            <w:r w:rsidDel="00000000" w:rsidR="00000000" w:rsidRPr="00000000">
              <w:rPr>
                <w:rFonts w:ascii="Arial" w:cs="Arial" w:eastAsia="Arial" w:hAnsi="Arial"/>
                <w:sz w:val="20"/>
                <w:szCs w:val="20"/>
                <w:rtl w:val="0"/>
              </w:rPr>
              <w:t xml:space="preserve"> com poderes específicos para o ato. Se for em formato digital deve estar assinado digitalmente com assinatura eletrônica avançada ou qualificada. </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de inteiro teor atualizada da matrícula </w:t>
            </w:r>
          </w:p>
          <w:p w:rsidR="00000000" w:rsidDel="00000000" w:rsidP="00000000" w:rsidRDefault="00000000" w:rsidRPr="00000000" w14:paraId="00000030">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818 do Código de Normas do Pará </w:t>
            </w:r>
          </w:p>
          <w:p w:rsidR="00000000" w:rsidDel="00000000" w:rsidP="00000000" w:rsidRDefault="00000000" w:rsidRPr="00000000" w14:paraId="00000031">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 caso de mudança de circunscrição, apresentar a Certidão de inteiro teor da matrícula emitida há no máximo </w:t>
            </w:r>
            <w:r w:rsidDel="00000000" w:rsidR="00000000" w:rsidRPr="00000000">
              <w:rPr>
                <w:rFonts w:ascii="Arial" w:cs="Arial" w:eastAsia="Arial" w:hAnsi="Arial"/>
                <w:b w:val="1"/>
                <w:bCs w:val="1"/>
                <w:sz w:val="20"/>
                <w:szCs w:val="20"/>
                <w:rtl w:val="0"/>
              </w:rPr>
              <w:t xml:space="preserve">30 dias expedida pelo cartório de origem</w:t>
            </w:r>
            <w:r w:rsidDel="00000000" w:rsidR="00000000" w:rsidRPr="00000000">
              <w:rPr>
                <w:rFonts w:ascii="Arial" w:cs="Arial" w:eastAsia="Arial" w:hAnsi="Arial"/>
                <w:sz w:val="20"/>
                <w:szCs w:val="20"/>
                <w:rtl w:val="0"/>
              </w:rPr>
              <w:t xml:space="preserve">. Ela pode ser solicitada no próprio cartório de registro de imóveis presencialmente ou pelo site </w:t>
            </w:r>
            <w:hyperlink r:id="rId8">
              <w:r w:rsidDel="00000000" w:rsidR="00000000" w:rsidRPr="00000000">
                <w:rPr>
                  <w:rFonts w:ascii="Arial" w:cs="Arial" w:eastAsia="Arial" w:hAnsi="Arial"/>
                  <w:color w:val="1155cc"/>
                  <w:sz w:val="20"/>
                  <w:szCs w:val="20"/>
                  <w:u w:val="single"/>
                  <w:rtl w:val="0"/>
                </w:rPr>
                <w:t xml:space="preserve">www.ridigital.org.br</w:t>
              </w:r>
            </w:hyperlink>
            <w:r w:rsidDel="00000000" w:rsidR="00000000" w:rsidRPr="00000000">
              <w:rPr>
                <w:rFonts w:ascii="Arial" w:cs="Arial" w:eastAsia="Arial" w:hAnsi="Arial"/>
                <w:sz w:val="20"/>
                <w:szCs w:val="20"/>
                <w:rtl w:val="0"/>
              </w:rPr>
              <w:t xml:space="preserve"> ou baixe o aplicativo RI Digital.</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de ônus e ações do Registro de Imóveis </w:t>
            </w:r>
          </w:p>
          <w:p w:rsidR="00000000" w:rsidDel="00000000" w:rsidP="00000000" w:rsidRDefault="00000000" w:rsidRPr="00000000" w14:paraId="00000034">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1º, IV do Dec. nº 93.240/86 e art. 818 do Código de Normas do Pará </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5">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 caso de imóvel oriundo de Transcrição, apresentar Certidões de Inteiro Teor e de Ônus atualizadas (30 dias), expedidas pelo Cartório de origem.</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comprobatórios para </w:t>
            </w:r>
            <w:r w:rsidDel="00000000" w:rsidR="00000000" w:rsidRPr="00000000">
              <w:rPr>
                <w:rFonts w:ascii="Arial" w:cs="Arial" w:eastAsia="Arial" w:hAnsi="Arial"/>
                <w:b w:val="1"/>
                <w:bCs w:val="1"/>
                <w:sz w:val="20"/>
                <w:szCs w:val="20"/>
                <w:rtl w:val="0"/>
              </w:rPr>
              <w:t xml:space="preserve">averbação da qualificação subjetiva (dados do proprietário)</w:t>
            </w:r>
            <w:r w:rsidDel="00000000" w:rsidR="00000000" w:rsidRPr="00000000">
              <w:rPr>
                <w:rFonts w:ascii="Arial" w:cs="Arial" w:eastAsia="Arial" w:hAnsi="Arial"/>
                <w:sz w:val="20"/>
                <w:szCs w:val="20"/>
                <w:rtl w:val="0"/>
              </w:rPr>
              <w:t xml:space="preserve">, quando houver divergência ou desatualização dos dados constantes no registro.</w:t>
            </w:r>
          </w:p>
          <w:p w:rsidR="00000000" w:rsidDel="00000000" w:rsidP="00000000" w:rsidRDefault="00000000" w:rsidRPr="00000000" w14:paraId="00000037">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755, inc. V c/c 832 e seguintes c/c do Código de Normas do Pará c/c art. 1º, IV do Dec. nº 93.240/86; Art. 440-AS, I, II c/c Art. 440-AT, do Código Nacional de Normas. </w:t>
            </w:r>
          </w:p>
          <w:p w:rsidR="00000000" w:rsidDel="00000000" w:rsidP="00000000" w:rsidRDefault="00000000" w:rsidRPr="00000000" w14:paraId="00000038">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os dados do proprietário estejam desatualizados no registro/matrícula do imóvel, deverá ser solicitada a averbação correspondente (ex.: retificação de dados pessoais, averbação de casamento, separação, divórcio ou alteração de razão social).</w:t>
            </w:r>
          </w:p>
          <w:p w:rsidR="00000000" w:rsidDel="00000000" w:rsidP="00000000" w:rsidRDefault="00000000" w:rsidRPr="00000000" w14:paraId="0000003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Os documentos comprobatórios devem ser apresentados em via original ou cópia autenticada em cartório.</w:t>
            </w:r>
          </w:p>
          <w:p w:rsidR="00000000" w:rsidDel="00000000" w:rsidP="00000000" w:rsidRDefault="00000000" w:rsidRPr="00000000" w14:paraId="0000003B">
            <w:pPr>
              <w:spacing w:after="0" w:lineRule="auto"/>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Dependendo do caso, poderá ser necessário cumprir checklist específico do tipo de averbação.</w:t>
            </w:r>
            <w:r w:rsidDel="00000000" w:rsidR="00000000" w:rsidRPr="00000000">
              <w:rPr>
                <w:rtl w:val="0"/>
              </w:rPr>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Escritura Pública de Pacto Antenupcial (via original).</w:t>
            </w:r>
          </w:p>
          <w:p w:rsidR="00000000" w:rsidDel="00000000" w:rsidP="00000000" w:rsidRDefault="00000000" w:rsidRPr="00000000" w14:paraId="0000003D">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já tenha sido registrado, informar o número do registro e a circunscrição do Registro de Imóveis onde o pacto foi registrado no Livro 3 – Registro Auxiliar.</w:t>
            </w:r>
          </w:p>
          <w:p w:rsidR="00000000" w:rsidDel="00000000" w:rsidP="00000000" w:rsidRDefault="00000000" w:rsidRPr="00000000" w14:paraId="0000003E">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833 do Código de Normas do Pará </w:t>
            </w:r>
          </w:p>
          <w:p w:rsidR="00000000" w:rsidDel="00000000" w:rsidP="00000000" w:rsidRDefault="00000000" w:rsidRPr="00000000" w14:paraId="0000003F">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0">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casamento foi celebrado com regime de bens que exige pacto antenupcial (como separação convencional de bens, participação final nos aquestos, entre outros), é necessário que o pacto esteja previamente registrado no Livro 3 – Registro Auxiliar do Registro de Imóveis do domicílio conjugal dos nubentes.</w:t>
            </w:r>
          </w:p>
          <w:p w:rsidR="00000000" w:rsidDel="00000000" w:rsidP="00000000" w:rsidRDefault="00000000" w:rsidRPr="00000000" w14:paraId="00000041">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Após esse registro, o pacto também deverá ser averbado na matrícula do imóvel (Livro 2 – Registro Geral), sendo obrigatória a apresentação da Escritura Pública de Pacto Antenupcial em via original.</w:t>
            </w:r>
          </w:p>
          <w:p w:rsidR="00000000" w:rsidDel="00000000" w:rsidP="00000000" w:rsidRDefault="00000000" w:rsidRPr="00000000" w14:paraId="0000004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o pacto já tenha sido registrado em outro Registro de Imóveis, o interessado deverá informar o número do registro e a respectiva circunscrição.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para </w:t>
            </w:r>
            <w:r w:rsidDel="00000000" w:rsidR="00000000" w:rsidRPr="00000000">
              <w:rPr>
                <w:rFonts w:ascii="Arial" w:cs="Arial" w:eastAsia="Arial" w:hAnsi="Arial"/>
                <w:b w:val="1"/>
                <w:bCs w:val="1"/>
                <w:sz w:val="20"/>
                <w:szCs w:val="20"/>
                <w:rtl w:val="0"/>
              </w:rPr>
              <w:t xml:space="preserve">averbação da qualificação objetiva (dados do imóvel)</w:t>
            </w:r>
            <w:r w:rsidDel="00000000" w:rsidR="00000000" w:rsidRPr="00000000">
              <w:rPr>
                <w:rFonts w:ascii="Arial" w:cs="Arial" w:eastAsia="Arial" w:hAnsi="Arial"/>
                <w:sz w:val="20"/>
                <w:szCs w:val="20"/>
                <w:rtl w:val="0"/>
              </w:rPr>
              <w:t xml:space="preserve">, quando houver alteração ou informação ainda não constante na matrícula (ex.: inscrição imobiliária, construção ou domínio).</w:t>
            </w:r>
          </w:p>
          <w:p w:rsidR="00000000" w:rsidDel="00000000" w:rsidP="00000000" w:rsidRDefault="00000000" w:rsidRPr="00000000" w14:paraId="00000044">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755, inc. IV c/c 825 e seguintes do Código de Normas do Pará; Art. 440-AS, inc. III c/c Art. 440-AV, do Código Nacional de Normas. </w:t>
            </w:r>
          </w:p>
          <w:p w:rsidR="00000000" w:rsidDel="00000000" w:rsidP="00000000" w:rsidRDefault="00000000" w:rsidRPr="00000000" w14:paraId="00000045">
            <w:pPr>
              <w:spacing w:after="0" w:lineRule="auto"/>
              <w:jc w:val="both"/>
              <w:rPr>
                <w:rFonts w:ascii="Arial" w:cs="Arial" w:eastAsia="Arial" w:hAnsi="Arial"/>
                <w:i w:val="1"/>
                <w:iCs w:val="1"/>
                <w:sz w:val="16"/>
                <w:szCs w:val="16"/>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Deverá ser apresentada a Certidão de Cadastro Imobiliário do ano vigente e o espelho do IPTU do ano vigente.</w:t>
            </w:r>
          </w:p>
          <w:p w:rsidR="00000000" w:rsidDel="00000000" w:rsidP="00000000" w:rsidRDefault="00000000" w:rsidRPr="00000000" w14:paraId="0000004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Ambos os documentos podem ser emitidos eletronicamente no site da SEFIN (Secretaria de Finanças do Município de Belém), pelo link:</w:t>
            </w:r>
          </w:p>
          <w:p w:rsidR="00000000" w:rsidDel="00000000" w:rsidP="00000000" w:rsidRDefault="00000000" w:rsidRPr="00000000" w14:paraId="00000048">
            <w:pPr>
              <w:spacing w:after="0" w:lineRule="auto"/>
              <w:jc w:val="both"/>
              <w:rPr>
                <w:rFonts w:ascii="Arial" w:cs="Arial" w:eastAsia="Arial" w:hAnsi="Arial"/>
                <w:sz w:val="20"/>
                <w:szCs w:val="20"/>
              </w:rPr>
            </w:pPr>
            <w:hyperlink r:id="rId9">
              <w:r w:rsidDel="00000000" w:rsidR="00000000" w:rsidRPr="00000000">
                <w:rPr>
                  <w:rFonts w:ascii="Arial" w:cs="Arial" w:eastAsia="Arial" w:hAnsi="Arial"/>
                  <w:color w:val="1155cc"/>
                  <w:sz w:val="20"/>
                  <w:szCs w:val="20"/>
                  <w:u w:val="single"/>
                  <w:rtl w:val="0"/>
                </w:rPr>
                <w:t xml:space="preserve">http://siat.belem.pa.gov.br:8081/cadastro/pages/imobiliario/externo/imovelConsultaExterna.jsf</w:t>
              </w:r>
            </w:hyperlink>
            <w:r w:rsidDel="00000000" w:rsidR="00000000" w:rsidRPr="00000000">
              <w:rPr>
                <w:rFonts w:ascii="Arial" w:cs="Arial" w:eastAsia="Arial" w:hAnsi="Arial"/>
                <w:sz w:val="20"/>
                <w:szCs w:val="20"/>
                <w:rtl w:val="0"/>
              </w:rPr>
              <w:t xml:space="preserve">. Caso seja necessária a averbação de alguma informação do imóvel, poderão ser solicitados documentos complementares, conforme o caso.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ou certidões dos registros anteriores do imóvel que indiquem a natureza do </w:t>
            </w:r>
            <w:r w:rsidDel="00000000" w:rsidR="00000000" w:rsidRPr="00000000">
              <w:rPr>
                <w:rFonts w:ascii="Arial" w:cs="Arial" w:eastAsia="Arial" w:hAnsi="Arial"/>
                <w:b w:val="1"/>
                <w:bCs w:val="1"/>
                <w:sz w:val="20"/>
                <w:szCs w:val="20"/>
                <w:rtl w:val="0"/>
              </w:rPr>
              <w:t xml:space="preserve">domínio</w:t>
            </w:r>
            <w:r w:rsidDel="00000000" w:rsidR="00000000" w:rsidRPr="00000000">
              <w:rPr>
                <w:rFonts w:ascii="Arial" w:cs="Arial" w:eastAsia="Arial" w:hAnsi="Arial"/>
                <w:sz w:val="20"/>
                <w:szCs w:val="20"/>
                <w:rtl w:val="0"/>
              </w:rPr>
              <w:t xml:space="preserve">, quando houver.</w:t>
            </w:r>
          </w:p>
          <w:p w:rsidR="00000000" w:rsidDel="00000000" w:rsidP="00000000" w:rsidRDefault="00000000" w:rsidRPr="00000000" w14:paraId="0000004A">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440-AR do Código Nacional de Normas; Art. 825 e seguintes do Código de Normas do Pará</w:t>
            </w:r>
          </w:p>
          <w:p w:rsidR="00000000" w:rsidDel="00000000" w:rsidP="00000000" w:rsidRDefault="00000000" w:rsidRPr="00000000" w14:paraId="0000004B">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Deve-se verificar nos registros anteriores do imóvel se há informação sobre a alodialidade ou tipo de domínio, especialmente quando se tratar de domínio da União (SPU) ou do Município (CODEM).</w:t>
            </w:r>
          </w:p>
          <w:p w:rsidR="00000000" w:rsidDel="00000000" w:rsidP="00000000" w:rsidRDefault="00000000" w:rsidRPr="00000000" w14:paraId="0000004D">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essa informação conste nos registros anteriores, ela deverá ser reproduzida no ato indicando expressamente o tipo de domínio do imóvel.</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do Registro Anterior do imóvel (se houver), contendo a </w:t>
            </w:r>
            <w:r w:rsidDel="00000000" w:rsidR="00000000" w:rsidRPr="00000000">
              <w:rPr>
                <w:rFonts w:ascii="Arial" w:cs="Arial" w:eastAsia="Arial" w:hAnsi="Arial"/>
                <w:b w:val="1"/>
                <w:bCs w:val="1"/>
                <w:sz w:val="20"/>
                <w:szCs w:val="20"/>
                <w:rtl w:val="0"/>
              </w:rPr>
              <w:t xml:space="preserve">descrição completa e atualizada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4F">
            <w:pPr>
              <w:spacing w:after="0" w:lineRule="auto"/>
              <w:jc w:val="both"/>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da Lei 6.015/73 c/c Art. 825 e seguintes do Código de Normas do Pará</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0">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necessário que o imóvel esteja especializado objetivamente no registro anterior, ou seja, que a certidão apresente a descrição completa do bem.</w:t>
            </w:r>
          </w:p>
          <w:p w:rsidR="00000000" w:rsidDel="00000000" w:rsidP="00000000" w:rsidRDefault="00000000" w:rsidRPr="00000000" w14:paraId="00000051">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Se o imóvel for urbano:</w:t>
            </w:r>
          </w:p>
          <w:p w:rsidR="00000000" w:rsidDel="00000000" w:rsidP="00000000" w:rsidRDefault="00000000" w:rsidRPr="00000000" w14:paraId="0000005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certidão deve conter, sempre que possível: características e confrontações, localização, área, medidas perimetrais, logradouro, número de designação e inscrição de IPTU, se houver.</w:t>
            </w:r>
          </w:p>
          <w:p w:rsidR="00000000" w:rsidDel="00000000" w:rsidP="00000000" w:rsidRDefault="00000000" w:rsidRPr="00000000" w14:paraId="0000005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 Se o imóvel for rural:</w:t>
            </w:r>
          </w:p>
          <w:p w:rsidR="00000000" w:rsidDel="00000000" w:rsidP="00000000" w:rsidRDefault="00000000" w:rsidRPr="00000000" w14:paraId="00000054">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certidão deve indicar o código do imóvel, os dados constantes do CCIR, a denominação do imóvel rural, bem como suas características, confrontações, localização e área.</w:t>
            </w:r>
          </w:p>
          <w:p w:rsidR="00000000" w:rsidDel="00000000" w:rsidP="00000000" w:rsidRDefault="00000000" w:rsidRPr="00000000" w14:paraId="00000055">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imóvel urbano não estiver especializado objetivamente no registro anterior, o cartório poderá solicitar, por nota de exigência, a apresentação de material técnico (planta, memorial descritivo e ART/RRT) para a correta individualização do imóvel, conforme o checklist de </w:t>
            </w:r>
            <w:r w:rsidDel="00000000" w:rsidR="00000000" w:rsidRPr="00000000">
              <w:rPr>
                <w:rFonts w:ascii="Arial" w:cs="Arial" w:eastAsia="Arial" w:hAnsi="Arial"/>
                <w:b w:val="1"/>
                <w:bCs w:val="1"/>
                <w:sz w:val="20"/>
                <w:szCs w:val="20"/>
                <w:rtl w:val="0"/>
              </w:rPr>
              <w:t xml:space="preserve">averbação de descrição do imóvel,</w:t>
            </w:r>
            <w:r w:rsidDel="00000000" w:rsidR="00000000" w:rsidRPr="00000000">
              <w:rPr>
                <w:rFonts w:ascii="Arial" w:cs="Arial" w:eastAsia="Arial" w:hAnsi="Arial"/>
                <w:sz w:val="20"/>
                <w:szCs w:val="20"/>
                <w:rtl w:val="0"/>
              </w:rPr>
              <w:t xml:space="preserve"> com fundamento no art. 213, inciso I, alíneas b, c, d, e, f da Lei nº 6.015/1973, combinado com o art. 440-AQ do Código Nacional de Normas.</w:t>
            </w:r>
          </w:p>
          <w:p w:rsidR="00000000" w:rsidDel="00000000" w:rsidP="00000000" w:rsidRDefault="00000000" w:rsidRPr="00000000" w14:paraId="0000005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imóvel for </w:t>
            </w:r>
            <w:r w:rsidDel="00000000" w:rsidR="00000000" w:rsidRPr="00000000">
              <w:rPr>
                <w:rFonts w:ascii="Arial" w:cs="Arial" w:eastAsia="Arial" w:hAnsi="Arial"/>
                <w:b w:val="1"/>
                <w:bCs w:val="1"/>
                <w:sz w:val="20"/>
                <w:szCs w:val="20"/>
                <w:rtl w:val="0"/>
              </w:rPr>
              <w:t xml:space="preserve">unidade autônoma de empreendimento</w:t>
            </w:r>
            <w:r w:rsidDel="00000000" w:rsidR="00000000" w:rsidRPr="00000000">
              <w:rPr>
                <w:rFonts w:ascii="Arial" w:cs="Arial" w:eastAsia="Arial" w:hAnsi="Arial"/>
                <w:sz w:val="20"/>
                <w:szCs w:val="20"/>
                <w:rtl w:val="0"/>
              </w:rPr>
              <w:t xml:space="preserve"> vertical, horizontal ou loteamento, deverá ser verificado o registro anterior (matrícula matriz), a fim de extrair de lá as características objetivas do imóvel.</w:t>
            </w:r>
          </w:p>
          <w:p w:rsidR="00000000" w:rsidDel="00000000" w:rsidP="00000000" w:rsidRDefault="00000000" w:rsidRPr="00000000" w14:paraId="0000005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no registro anterior não constem as características objetivas obrigatórias, poderá ser solicitado, por nota de exigência, a apresentação de material técnico (planta, memorial descritivo e ART/RRT), bem como Laudo de Vistoria, quando não houver averbação de construção na matrícula matriz ou na matrícula da unidade autônoma.</w:t>
            </w:r>
          </w:p>
          <w:p w:rsidR="00000000" w:rsidDel="00000000" w:rsidP="00000000" w:rsidRDefault="00000000" w:rsidRPr="00000000" w14:paraId="0000005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Nesses casos, poderá ser utilizado o checklist de </w:t>
            </w:r>
            <w:r w:rsidDel="00000000" w:rsidR="00000000" w:rsidRPr="00000000">
              <w:rPr>
                <w:rFonts w:ascii="Arial" w:cs="Arial" w:eastAsia="Arial" w:hAnsi="Arial"/>
                <w:b w:val="1"/>
                <w:bCs w:val="1"/>
                <w:sz w:val="20"/>
                <w:szCs w:val="20"/>
                <w:rtl w:val="0"/>
              </w:rPr>
              <w:t xml:space="preserve">convalidação de construção (</w:t>
            </w:r>
            <w:r w:rsidDel="00000000" w:rsidR="00000000" w:rsidRPr="00000000">
              <w:rPr>
                <w:rFonts w:ascii="Arial" w:cs="Arial" w:eastAsia="Arial" w:hAnsi="Arial"/>
                <w:sz w:val="20"/>
                <w:szCs w:val="20"/>
                <w:rtl w:val="0"/>
              </w:rPr>
              <w:t xml:space="preserve">quando não houver averbação de construção) ou o checklist de </w:t>
            </w:r>
            <w:r w:rsidDel="00000000" w:rsidR="00000000" w:rsidRPr="00000000">
              <w:rPr>
                <w:rFonts w:ascii="Arial" w:cs="Arial" w:eastAsia="Arial" w:hAnsi="Arial"/>
                <w:b w:val="1"/>
                <w:bCs w:val="1"/>
                <w:sz w:val="20"/>
                <w:szCs w:val="20"/>
                <w:rtl w:val="0"/>
              </w:rPr>
              <w:t xml:space="preserve">averbação de descrição do imóvel</w:t>
            </w:r>
            <w:r w:rsidDel="00000000" w:rsidR="00000000" w:rsidRPr="00000000">
              <w:rPr>
                <w:rFonts w:ascii="Arial" w:cs="Arial" w:eastAsia="Arial" w:hAnsi="Arial"/>
                <w:sz w:val="20"/>
                <w:szCs w:val="20"/>
                <w:rtl w:val="0"/>
              </w:rPr>
              <w:t xml:space="preserve">, conforme a situação verificada no registro.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Ofício expedido pelo INCRA, na via original</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 número de cadastro do INCRA constante no ofício é o mesmo que consta na matrícula</w:t>
            </w:r>
          </w:p>
          <w:p w:rsidR="00000000" w:rsidDel="00000000" w:rsidP="00000000" w:rsidRDefault="00000000" w:rsidRPr="00000000" w14:paraId="0000005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esteja divergente deverá ser solicitado esclarecimento para saber se houve alteração do cadastro e se trata-se do mesmo imóvel.</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Declaração da Prefeitura Municipal </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D">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declaração deve informar que atualmente o imóvel se localiza em perímetro urbano, a Inscrição e o Cadastro Imobiliário.</w:t>
            </w:r>
          </w:p>
        </w:tc>
      </w:tr>
    </w:tbl>
    <w:p w:rsidR="00000000" w:rsidDel="00000000" w:rsidP="00000000" w:rsidRDefault="00000000" w:rsidRPr="00000000" w14:paraId="0000005E">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Observações complementares</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5F">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Após a análise da documentação apresentada, o registrador poderá solicitar documentos complementares, caso necessário, para a correta qualificação do pedido, ou seja, outros documentos poderão ser solicitados após a análise do caso concreto para a correta qualificação do título e especialização da matrícula, nos termos da legislação vigente.</w:t>
      </w:r>
    </w:p>
    <w:p w:rsidR="00000000" w:rsidDel="00000000" w:rsidP="00000000" w:rsidRDefault="00000000" w:rsidRPr="00000000" w14:paraId="00000060">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Nos termos do art. 205 da Lei nº 6.015/73, caso as exigências não sejam atendidas no prazo de 20 dias do protocolo do Título, cessarão automaticamente os efeitos da prenotação.</w:t>
      </w:r>
    </w:p>
    <w:p w:rsidR="00000000" w:rsidDel="00000000" w:rsidP="00000000" w:rsidRDefault="00000000" w:rsidRPr="00000000" w14:paraId="00000061">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Nos termos do art. 198 da Lei nº 6.015/73, se o interessado não concordar com a exigência ou não puder cumpri-la, poderá requerer que o título seja encaminhado ao juízo competente, acompanhado da declaração de dúvida, para que a questão seja analisada e decidida judicialmente.</w:t>
      </w:r>
    </w:p>
    <w:p w:rsidR="00000000" w:rsidDel="00000000" w:rsidP="00000000" w:rsidRDefault="00000000" w:rsidRPr="00000000" w14:paraId="00000062">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Sempre é verificado se existe outra prenotação vinculada à matrícula objeto do presente requerimento. Caso haja prenotação anterior, deverá analisar se o título ou procedimento já prenotado impede o registro do ato solicitado ou, não havendo impedimento, qual ato deve ser registrado primeiro, observando-se a ordem de prioridade. Além disso, se for identificada divergência entre as matrículas indicadas no requerimento e aquelas constantes na prenotação lançada no sistema, deverá ser realizada a correção da prenotação, com a devida anotação manuscrita no protocolo. Fundamentação: arts. 11, 12, 174, 182, 186 e 190 da Lei nº 6.015/1973 (Lei de Registros Públicos).</w:t>
      </w:r>
    </w:p>
    <w:p w:rsidR="00000000" w:rsidDel="00000000" w:rsidP="00000000" w:rsidRDefault="00000000" w:rsidRPr="00000000" w14:paraId="00000063">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realizada consulta à Central Nacional de Indisponibilidade de Bens para verificar se há indisponibilidade de bens em nome dos proprietários. Caso exista restrição, ela será prenotada e averbada na matrícula ou transcrição do imóvel, conforme as normas da Lei nº 6.015/1973 e do Código Nacional de Normas (ver Provimento CN nº 217, de 9.3.2026 e Art. 320-I, § 2º, do Código Nacional de Normas, art. 169, I, c/c art. 176, § 1º, I da Lei nº 6.015/1973).</w:t>
      </w:r>
    </w:p>
    <w:p w:rsidR="00000000" w:rsidDel="00000000" w:rsidP="00000000" w:rsidRDefault="00000000" w:rsidRPr="00000000" w14:paraId="00000064">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ACESSE OS SITES OFICIAIS PARA VERIFICAR ENDEREÇO, E-MAIL, TELEFONE E MAIS INFORMAÇÕES:</w:t>
      </w:r>
    </w:p>
    <w:sdt>
      <w:sdtPr>
        <w:lock w:val="contentLocked"/>
        <w:id w:val="-1649433921"/>
        <w:tag w:val="goog_rdk_0"/>
      </w:sdtPr>
      <w:sdtContent>
        <w:tbl>
          <w:tblPr>
            <w:tblStyle w:val="Table3"/>
            <w:tblW w:w="111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405"/>
            <w:gridCol w:w="4755"/>
            <w:tblGridChange w:id="0">
              <w:tblGrid>
                <w:gridCol w:w="6405"/>
                <w:gridCol w:w="4755"/>
              </w:tblGrid>
            </w:tblGridChange>
          </w:tblGrid>
          <w:tr>
            <w:trPr>
              <w:cantSplit w:val="1"/>
              <w:trHeight w:val="180"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5">
                <w:pPr>
                  <w:widowControl w:val="0"/>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Local</w:t>
                </w:r>
              </w:p>
            </w:tc>
            <w:tc>
              <w:tcPr>
                <w:shd w:fill="auto" w:val="clear"/>
                <w:tcMar>
                  <w:top w:w="0.0" w:type="dxa"/>
                  <w:left w:w="0.0" w:type="dxa"/>
                  <w:bottom w:w="0.0" w:type="dxa"/>
                  <w:right w:w="0.0" w:type="dxa"/>
                </w:tcMar>
                <w:vAlign w:val="center"/>
              </w:tcPr>
              <w:p w:rsidR="00000000" w:rsidDel="00000000" w:rsidP="00000000" w:rsidRDefault="00000000" w:rsidRPr="00000000" w14:paraId="00000066">
                <w:pPr>
                  <w:widowControl w:val="0"/>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Site Oficial</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7">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ONR - RI DIGITAL - Operador Nacional do Sistema de Registro Eletrônico de Imóveis (Plataforma Oficial)</w:t>
                </w:r>
              </w:p>
            </w:tc>
            <w:tc>
              <w:tcPr>
                <w:shd w:fill="auto" w:val="clear"/>
                <w:tcMar>
                  <w:top w:w="0.0" w:type="dxa"/>
                  <w:left w:w="0.0" w:type="dxa"/>
                  <w:bottom w:w="0.0" w:type="dxa"/>
                  <w:right w:w="0.0" w:type="dxa"/>
                </w:tcMar>
                <w:vAlign w:val="center"/>
              </w:tcPr>
              <w:p w:rsidR="00000000" w:rsidDel="00000000" w:rsidP="00000000" w:rsidRDefault="00000000" w:rsidRPr="00000000" w14:paraId="00000068">
                <w:pPr>
                  <w:widowControl w:val="0"/>
                  <w:spacing w:after="0" w:line="240" w:lineRule="auto"/>
                  <w:jc w:val="center"/>
                  <w:rPr>
                    <w:rFonts w:ascii="Arial" w:cs="Arial" w:eastAsia="Arial" w:hAnsi="Arial"/>
                    <w:b w:val="1"/>
                    <w:bCs w:val="1"/>
                    <w:sz w:val="18"/>
                    <w:szCs w:val="18"/>
                  </w:rPr>
                </w:pPr>
                <w:hyperlink r:id="rId10">
                  <w:r w:rsidDel="00000000" w:rsidR="00000000" w:rsidRPr="00000000">
                    <w:rPr>
                      <w:rFonts w:ascii="Arial" w:cs="Arial" w:eastAsia="Arial" w:hAnsi="Arial"/>
                      <w:b w:val="1"/>
                      <w:bCs w:val="1"/>
                      <w:color w:val="1155cc"/>
                      <w:sz w:val="18"/>
                      <w:szCs w:val="18"/>
                      <w:u w:val="single"/>
                      <w:rtl w:val="0"/>
                    </w:rPr>
                    <w:t xml:space="preserve">https://ridigital.org.br/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9">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SEFIN - Secretaria Municipal de Finanças de Belém</w:t>
                </w:r>
              </w:p>
            </w:tc>
            <w:tc>
              <w:tcPr>
                <w:shd w:fill="auto" w:val="clear"/>
                <w:tcMar>
                  <w:top w:w="0.0" w:type="dxa"/>
                  <w:left w:w="0.0" w:type="dxa"/>
                  <w:bottom w:w="0.0" w:type="dxa"/>
                  <w:right w:w="0.0" w:type="dxa"/>
                </w:tcMar>
                <w:vAlign w:val="center"/>
              </w:tcPr>
              <w:p w:rsidR="00000000" w:rsidDel="00000000" w:rsidP="00000000" w:rsidRDefault="00000000" w:rsidRPr="00000000" w14:paraId="0000006A">
                <w:pPr>
                  <w:widowControl w:val="0"/>
                  <w:spacing w:after="0" w:line="240" w:lineRule="auto"/>
                  <w:jc w:val="center"/>
                  <w:rPr>
                    <w:rFonts w:ascii="Arial" w:cs="Arial" w:eastAsia="Arial" w:hAnsi="Arial"/>
                    <w:b w:val="1"/>
                    <w:bCs w:val="1"/>
                    <w:sz w:val="18"/>
                    <w:szCs w:val="18"/>
                  </w:rPr>
                </w:pPr>
                <w:hyperlink r:id="rId11">
                  <w:r w:rsidDel="00000000" w:rsidR="00000000" w:rsidRPr="00000000">
                    <w:rPr>
                      <w:rFonts w:ascii="Arial" w:cs="Arial" w:eastAsia="Arial" w:hAnsi="Arial"/>
                      <w:b w:val="1"/>
                      <w:bCs w:val="1"/>
                      <w:color w:val="1155cc"/>
                      <w:sz w:val="18"/>
                      <w:szCs w:val="18"/>
                      <w:u w:val="single"/>
                      <w:rtl w:val="0"/>
                    </w:rPr>
                    <w:t xml:space="preserve">https://financas.belem.pa.gov.br/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B">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CODEM - Companhia de Desenvolvimento e Administração da Área Metropolitana de Belém</w:t>
                </w:r>
              </w:p>
            </w:tc>
            <w:tc>
              <w:tcPr>
                <w:shd w:fill="auto" w:val="clear"/>
                <w:tcMar>
                  <w:top w:w="0.0" w:type="dxa"/>
                  <w:left w:w="0.0" w:type="dxa"/>
                  <w:bottom w:w="0.0" w:type="dxa"/>
                  <w:right w:w="0.0" w:type="dxa"/>
                </w:tcMar>
                <w:vAlign w:val="center"/>
              </w:tcPr>
              <w:p w:rsidR="00000000" w:rsidDel="00000000" w:rsidP="00000000" w:rsidRDefault="00000000" w:rsidRPr="00000000" w14:paraId="0000006C">
                <w:pPr>
                  <w:widowControl w:val="0"/>
                  <w:spacing w:after="0" w:line="240" w:lineRule="auto"/>
                  <w:jc w:val="center"/>
                  <w:rPr>
                    <w:rFonts w:ascii="Arial" w:cs="Arial" w:eastAsia="Arial" w:hAnsi="Arial"/>
                    <w:b w:val="1"/>
                    <w:bCs w:val="1"/>
                    <w:sz w:val="18"/>
                    <w:szCs w:val="18"/>
                  </w:rPr>
                </w:pPr>
                <w:hyperlink r:id="rId12">
                  <w:r w:rsidDel="00000000" w:rsidR="00000000" w:rsidRPr="00000000">
                    <w:rPr>
                      <w:rFonts w:ascii="Arial" w:cs="Arial" w:eastAsia="Arial" w:hAnsi="Arial"/>
                      <w:b w:val="1"/>
                      <w:bCs w:val="1"/>
                      <w:color w:val="1155cc"/>
                      <w:sz w:val="18"/>
                      <w:szCs w:val="18"/>
                      <w:u w:val="single"/>
                      <w:rtl w:val="0"/>
                    </w:rPr>
                    <w:t xml:space="preserve">https://codem.belem.pa.gov.br/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D">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Sistema de pesquisa de Atos Normativos do Conselho Nacional de Justiça tais como Regimento Interno, Resoluções, Instruções Normativas, Portarias, Provimentos, Recomendações e Enunciados. </w:t>
                </w:r>
              </w:p>
            </w:tc>
            <w:tc>
              <w:tcPr>
                <w:shd w:fill="auto" w:val="clear"/>
                <w:tcMar>
                  <w:top w:w="0.0" w:type="dxa"/>
                  <w:left w:w="0.0" w:type="dxa"/>
                  <w:bottom w:w="0.0" w:type="dxa"/>
                  <w:right w:w="0.0" w:type="dxa"/>
                </w:tcMar>
                <w:vAlign w:val="center"/>
              </w:tcPr>
              <w:p w:rsidR="00000000" w:rsidDel="00000000" w:rsidP="00000000" w:rsidRDefault="00000000" w:rsidRPr="00000000" w14:paraId="0000006E">
                <w:pPr>
                  <w:widowControl w:val="0"/>
                  <w:spacing w:after="0" w:line="240" w:lineRule="auto"/>
                  <w:jc w:val="center"/>
                  <w:rPr>
                    <w:rFonts w:ascii="Arial" w:cs="Arial" w:eastAsia="Arial" w:hAnsi="Arial"/>
                    <w:b w:val="1"/>
                    <w:bCs w:val="1"/>
                    <w:sz w:val="18"/>
                    <w:szCs w:val="18"/>
                  </w:rPr>
                </w:pPr>
                <w:hyperlink r:id="rId13">
                  <w:r w:rsidDel="00000000" w:rsidR="00000000" w:rsidRPr="00000000">
                    <w:rPr>
                      <w:rFonts w:ascii="Arial" w:cs="Arial" w:eastAsia="Arial" w:hAnsi="Arial"/>
                      <w:b w:val="1"/>
                      <w:bCs w:val="1"/>
                      <w:color w:val="1155cc"/>
                      <w:sz w:val="18"/>
                      <w:szCs w:val="18"/>
                      <w:u w:val="single"/>
                      <w:rtl w:val="0"/>
                    </w:rPr>
                    <w:t xml:space="preserve">https://www.cnj.jus.br/atos_normativos/</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F">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ANOREG/PA - Associação dos Notários e Registradores</w:t>
                </w:r>
              </w:p>
            </w:tc>
            <w:tc>
              <w:tcPr>
                <w:shd w:fill="auto" w:val="clear"/>
                <w:tcMar>
                  <w:top w:w="0.0" w:type="dxa"/>
                  <w:left w:w="0.0" w:type="dxa"/>
                  <w:bottom w:w="0.0" w:type="dxa"/>
                  <w:right w:w="0.0" w:type="dxa"/>
                </w:tcMar>
                <w:vAlign w:val="center"/>
              </w:tcPr>
              <w:p w:rsidR="00000000" w:rsidDel="00000000" w:rsidP="00000000" w:rsidRDefault="00000000" w:rsidRPr="00000000" w14:paraId="00000070">
                <w:pPr>
                  <w:widowControl w:val="0"/>
                  <w:spacing w:after="0" w:line="240" w:lineRule="auto"/>
                  <w:jc w:val="center"/>
                  <w:rPr>
                    <w:rFonts w:ascii="Arial" w:cs="Arial" w:eastAsia="Arial" w:hAnsi="Arial"/>
                    <w:b w:val="1"/>
                    <w:bCs w:val="1"/>
                    <w:sz w:val="18"/>
                    <w:szCs w:val="18"/>
                  </w:rPr>
                </w:pPr>
                <w:hyperlink r:id="rId14">
                  <w:r w:rsidDel="00000000" w:rsidR="00000000" w:rsidRPr="00000000">
                    <w:rPr>
                      <w:rFonts w:ascii="Arial" w:cs="Arial" w:eastAsia="Arial" w:hAnsi="Arial"/>
                      <w:b w:val="1"/>
                      <w:bCs w:val="1"/>
                      <w:color w:val="1155cc"/>
                      <w:sz w:val="18"/>
                      <w:szCs w:val="18"/>
                      <w:u w:val="single"/>
                      <w:rtl w:val="0"/>
                    </w:rPr>
                    <w:t xml:space="preserve">https://cartoriosdopara.com.br/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1">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Lei Estadual 10.257/23: Tabelas de emolumentos/valores dos Serviços Notariais e de Registros 2026</w:t>
                </w:r>
              </w:p>
            </w:tc>
            <w:tc>
              <w:tcPr>
                <w:shd w:fill="auto" w:val="clear"/>
                <w:tcMar>
                  <w:top w:w="0.0" w:type="dxa"/>
                  <w:left w:w="0.0" w:type="dxa"/>
                  <w:bottom w:w="0.0" w:type="dxa"/>
                  <w:right w:w="0.0" w:type="dxa"/>
                </w:tcMar>
                <w:vAlign w:val="center"/>
              </w:tcPr>
              <w:p w:rsidR="00000000" w:rsidDel="00000000" w:rsidP="00000000" w:rsidRDefault="00000000" w:rsidRPr="00000000" w14:paraId="00000072">
                <w:pPr>
                  <w:widowControl w:val="0"/>
                  <w:spacing w:after="0" w:line="240" w:lineRule="auto"/>
                  <w:jc w:val="center"/>
                  <w:rPr>
                    <w:rFonts w:ascii="Arial" w:cs="Arial" w:eastAsia="Arial" w:hAnsi="Arial"/>
                    <w:b w:val="1"/>
                    <w:bCs w:val="1"/>
                    <w:sz w:val="18"/>
                    <w:szCs w:val="18"/>
                  </w:rPr>
                </w:pPr>
                <w:hyperlink r:id="rId15">
                  <w:r w:rsidDel="00000000" w:rsidR="00000000" w:rsidRPr="00000000">
                    <w:rPr>
                      <w:rFonts w:ascii="Arial" w:cs="Arial" w:eastAsia="Arial" w:hAnsi="Arial"/>
                      <w:b w:val="1"/>
                      <w:bCs w:val="1"/>
                      <w:color w:val="1155cc"/>
                      <w:sz w:val="18"/>
                      <w:szCs w:val="18"/>
                      <w:u w:val="single"/>
                      <w:rtl w:val="0"/>
                    </w:rPr>
                    <w:t xml:space="preserve">https://cartoriosdopara.com.br/emolumentos-geral/</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3">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Para mais informações </w:t>
                </w:r>
              </w:p>
              <w:p w:rsidR="00000000" w:rsidDel="00000000" w:rsidP="00000000" w:rsidRDefault="00000000" w:rsidRPr="00000000" w14:paraId="00000074">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aponte a câmera do seu celular e acesse o site do </w:t>
                </w:r>
              </w:p>
              <w:p w:rsidR="00000000" w:rsidDel="00000000" w:rsidP="00000000" w:rsidRDefault="00000000" w:rsidRPr="00000000" w14:paraId="00000075">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2º Ofício de Registro de Imóveis de Belém-PA:</w:t>
                </w:r>
              </w:p>
            </w:tc>
            <w:tc>
              <w:tcPr>
                <w:shd w:fill="auto" w:val="clear"/>
                <w:tcMar>
                  <w:top w:w="0.0" w:type="dxa"/>
                  <w:left w:w="0.0" w:type="dxa"/>
                  <w:bottom w:w="0.0" w:type="dxa"/>
                  <w:right w:w="0.0" w:type="dxa"/>
                </w:tcMar>
                <w:vAlign w:val="center"/>
              </w:tcPr>
              <w:p w:rsidR="00000000" w:rsidDel="00000000" w:rsidP="00000000" w:rsidRDefault="00000000" w:rsidRPr="00000000" w14:paraId="00000076">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20"/>
                    <w:szCs w:val="20"/>
                  </w:rPr>
                  <w:drawing>
                    <wp:inline distB="114300" distT="114300" distL="114300" distR="114300">
                      <wp:extent cx="782513" cy="790664"/>
                      <wp:effectExtent b="0" l="0" r="0" t="0"/>
                      <wp:docPr id="16" name="image2.png"/>
                      <a:graphic>
                        <a:graphicData uri="http://schemas.openxmlformats.org/drawingml/2006/picture">
                          <pic:pic>
                            <pic:nvPicPr>
                              <pic:cNvPr id="0" name="image2.png"/>
                              <pic:cNvPicPr preferRelativeResize="0"/>
                            </pic:nvPicPr>
                            <pic:blipFill>
                              <a:blip r:embed="rId16"/>
                              <a:srcRect b="0" l="0" r="0" t="0"/>
                              <a:stretch>
                                <a:fillRect/>
                              </a:stretch>
                            </pic:blipFill>
                            <pic:spPr>
                              <a:xfrm>
                                <a:off x="0" y="0"/>
                                <a:ext cx="782513" cy="790664"/>
                              </a:xfrm>
                              <a:prstGeom prst="rect"/>
                              <a:ln/>
                            </pic:spPr>
                          </pic:pic>
                        </a:graphicData>
                      </a:graphic>
                    </wp:inline>
                  </w:drawing>
                </w:r>
                <w:r w:rsidDel="00000000" w:rsidR="00000000" w:rsidRPr="00000000">
                  <w:rPr>
                    <w:rtl w:val="0"/>
                  </w:rPr>
                </w:r>
              </w:p>
            </w:tc>
          </w:tr>
        </w:tbl>
      </w:sdtContent>
    </w:sdt>
    <w:p w:rsidR="00000000" w:rsidDel="00000000" w:rsidP="00000000" w:rsidRDefault="00000000" w:rsidRPr="00000000" w14:paraId="00000077">
      <w:pPr>
        <w:jc w:val="both"/>
        <w:rPr>
          <w:rFonts w:ascii="Arial" w:cs="Arial" w:eastAsia="Arial" w:hAnsi="Arial"/>
          <w:b w:val="1"/>
          <w:bCs w:val="1"/>
          <w:sz w:val="20"/>
          <w:szCs w:val="20"/>
        </w:rPr>
      </w:pPr>
      <w:r w:rsidDel="00000000" w:rsidR="00000000" w:rsidRPr="00000000">
        <w:rPr>
          <w:rtl w:val="0"/>
        </w:rPr>
      </w:r>
    </w:p>
    <w:sectPr>
      <w:headerReference r:id="rId17" w:type="default"/>
      <w:footerReference r:id="rId18" w:type="default"/>
      <w:pgSz w:h="15840" w:w="12240" w:orient="portrait"/>
      <w:pgMar w:bottom="538.7007874015751" w:top="1700.7874015748032" w:left="425.1968503937008" w:right="764.8818897637813" w:header="5.669291338582678" w:footer="56.6929133858267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3">
    <w:pPr>
      <w:spacing w:before="200" w:line="335.99999999999994" w:lineRule="auto"/>
      <w:ind w:left="-1559.0551181102362" w:right="-1706.4566929133848" w:firstLine="0"/>
      <w:jc w:val="cente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-333368</wp:posOffset>
          </wp:positionH>
          <wp:positionV relativeFrom="paragraph">
            <wp:posOffset>114300</wp:posOffset>
          </wp:positionV>
          <wp:extent cx="7850063" cy="432378"/>
          <wp:effectExtent b="0" l="0" r="0" t="0"/>
          <wp:wrapNone/>
          <wp:docPr id="14"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7850063" cy="432378"/>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8">
    <w:pPr>
      <w:widowControl w:val="0"/>
      <w:spacing w:after="0" w:lineRule="auto"/>
      <w:rPr>
        <w:rFonts w:ascii="Arial" w:cs="Arial" w:eastAsia="Arial" w:hAnsi="Arial"/>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247035</wp:posOffset>
          </wp:positionV>
          <wp:extent cx="1514475" cy="492586"/>
          <wp:effectExtent b="0" l="0" r="0" t="0"/>
          <wp:wrapNone/>
          <wp:docPr id="15" name="image1.png"/>
          <a:graphic>
            <a:graphicData uri="http://schemas.openxmlformats.org/drawingml/2006/picture">
              <pic:pic>
                <pic:nvPicPr>
                  <pic:cNvPr id="0" name="image1.png"/>
                  <pic:cNvPicPr preferRelativeResize="0"/>
                </pic:nvPicPr>
                <pic:blipFill>
                  <a:blip r:embed="rId1"/>
                  <a:srcRect b="23863" l="0" r="0" t="19073"/>
                  <a:stretch>
                    <a:fillRect/>
                  </a:stretch>
                </pic:blipFill>
                <pic:spPr>
                  <a:xfrm>
                    <a:off x="0" y="0"/>
                    <a:ext cx="1514475" cy="492586"/>
                  </a:xfrm>
                  <a:prstGeom prst="rect"/>
                  <a:ln/>
                </pic:spPr>
              </pic:pic>
            </a:graphicData>
          </a:graphic>
        </wp:anchor>
      </w:drawing>
    </w:r>
  </w:p>
  <w:sdt>
    <w:sdtPr>
      <w:lock w:val="contentLocked"/>
      <w:id w:val="248767216"/>
      <w:tag w:val="goog_rdk_1"/>
    </w:sdtPr>
    <w:sdtContent>
      <w:tbl>
        <w:tblPr>
          <w:tblStyle w:val="Table4"/>
          <w:tblpPr w:leftFromText="180" w:rightFromText="180" w:topFromText="180" w:bottomFromText="180" w:vertAnchor="text" w:horzAnchor="text" w:tblpX="144.80314960629954" w:tblpY="0"/>
          <w:tblW w:w="11085.0" w:type="dxa"/>
          <w:jc w:val="left"/>
          <w:tblInd w:w="141.0" w:type="dxa"/>
          <w:tblLayout w:type="fixed"/>
          <w:tblLook w:val="0000"/>
        </w:tblPr>
        <w:tblGrid>
          <w:gridCol w:w="2550"/>
          <w:gridCol w:w="6450"/>
          <w:gridCol w:w="2085"/>
          <w:tblGridChange w:id="0">
            <w:tblGrid>
              <w:gridCol w:w="2550"/>
              <w:gridCol w:w="6450"/>
              <w:gridCol w:w="2085"/>
            </w:tblGrid>
          </w:tblGridChange>
        </w:tblGrid>
        <w:tr>
          <w:trPr>
            <w:cantSplit w:val="0"/>
            <w:trHeight w:val="435" w:hRule="atLeast"/>
            <w:tblHeader w:val="0"/>
          </w:trPr>
          <w:tc>
            <w:tcPr>
              <w:vMerge w:val="restart"/>
              <w:tcBorders>
                <w:top w:color="808080" w:space="0" w:sz="18" w:val="single"/>
                <w:left w:color="808080" w:space="0" w:sz="18" w:val="single"/>
                <w:bottom w:color="808080" w:space="0" w:sz="18" w:val="single"/>
                <w:right w:color="808080" w:space="0" w:sz="6" w:val="single"/>
              </w:tcBorders>
              <w:vAlign w:val="center"/>
            </w:tcPr>
            <w:p w:rsidR="00000000" w:rsidDel="00000000" w:rsidP="00000000" w:rsidRDefault="00000000" w:rsidRPr="00000000" w14:paraId="00000079">
              <w:pPr>
                <w:spacing w:after="0" w:line="240" w:lineRule="auto"/>
                <w:ind w:right="-5"/>
                <w:jc w:val="center"/>
                <w:rPr>
                  <w:rFonts w:ascii="Arial" w:cs="Arial" w:eastAsia="Arial" w:hAnsi="Arial"/>
                  <w:sz w:val="24"/>
                  <w:szCs w:val="24"/>
                </w:rPr>
              </w:pPr>
              <w:r w:rsidDel="00000000" w:rsidR="00000000" w:rsidRPr="00000000">
                <w:rPr>
                  <w:rtl w:val="0"/>
                </w:rPr>
              </w:r>
            </w:p>
          </w:tc>
          <w:tc>
            <w:tcPr>
              <w:tcBorders>
                <w:top w:color="808080" w:space="0" w:sz="18"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7A">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Manuais, Políticas e Documentos</w:t>
              </w:r>
            </w:p>
          </w:tc>
          <w:tc>
            <w:tcPr>
              <w:vMerge w:val="restart"/>
              <w:tcBorders>
                <w:top w:color="808080" w:space="0" w:sz="18" w:val="single"/>
                <w:left w:color="808080" w:space="0" w:sz="6" w:val="single"/>
                <w:bottom w:color="808080" w:space="0" w:sz="18" w:val="single"/>
                <w:right w:color="808080" w:space="0" w:sz="18" w:val="single"/>
              </w:tcBorders>
              <w:vAlign w:val="center"/>
            </w:tcPr>
            <w:p w:rsidR="00000000" w:rsidDel="00000000" w:rsidP="00000000" w:rsidRDefault="00000000" w:rsidRPr="00000000" w14:paraId="0000007B">
              <w:pPr>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MPD - 025</w:t>
              </w:r>
            </w:p>
            <w:p w:rsidR="00000000" w:rsidDel="00000000" w:rsidP="00000000" w:rsidRDefault="00000000" w:rsidRPr="00000000" w14:paraId="0000007C">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Data: 10/03/2026</w:t>
              </w:r>
            </w:p>
            <w:p w:rsidR="00000000" w:rsidDel="00000000" w:rsidP="00000000" w:rsidRDefault="00000000" w:rsidRPr="00000000" w14:paraId="0000007D">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Revisão: 00</w:t>
              </w:r>
            </w:p>
            <w:p w:rsidR="00000000" w:rsidDel="00000000" w:rsidP="00000000" w:rsidRDefault="00000000" w:rsidRPr="00000000" w14:paraId="0000007E">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Página 1 de </w:t>
              </w:r>
              <w:r w:rsidDel="00000000" w:rsidR="00000000" w:rsidRPr="00000000">
                <w:rPr>
                  <w:rFonts w:ascii="Arial" w:cs="Arial" w:eastAsia="Arial" w:hAnsi="Arial"/>
                  <w:sz w:val="14"/>
                  <w:szCs w:val="14"/>
                </w:rPr>
                <w:fldChar w:fldCharType="begin"/>
                <w:instrText xml:space="preserve">NUMPAGES</w:instrText>
                <w:fldChar w:fldCharType="separate"/>
                <w:fldChar w:fldCharType="end"/>
              </w:r>
              <w:r w:rsidDel="00000000" w:rsidR="00000000" w:rsidRPr="00000000">
                <w:rPr>
                  <w:rtl w:val="0"/>
                </w:rPr>
              </w:r>
            </w:p>
          </w:tc>
        </w:tr>
        <w:tr>
          <w:trPr>
            <w:cantSplit w:val="0"/>
            <w:trHeight w:val="402.978515625" w:hRule="atLeast"/>
            <w:tblHeader w:val="0"/>
          </w:trPr>
          <w:tc>
            <w:tcPr>
              <w:vMerge w:val="continue"/>
              <w:tcBorders>
                <w:top w:color="808080" w:space="0" w:sz="18" w:val="single"/>
                <w:left w:color="808080" w:space="0" w:sz="18" w:val="single"/>
                <w:bottom w:color="808080" w:space="0" w:sz="18" w:val="single"/>
                <w:right w:color="808080" w:space="0" w:sz="6" w:val="single"/>
              </w:tcBorders>
              <w:vAlign w:val="center"/>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4"/>
                  <w:szCs w:val="14"/>
                </w:rPr>
              </w:pPr>
              <w:r w:rsidDel="00000000" w:rsidR="00000000" w:rsidRPr="00000000">
                <w:rPr>
                  <w:rtl w:val="0"/>
                </w:rPr>
              </w:r>
            </w:p>
          </w:tc>
          <w:tc>
            <w:tcPr>
              <w:tcBorders>
                <w:top w:color="808080" w:space="0" w:sz="6" w:val="single"/>
                <w:left w:color="808080" w:space="0" w:sz="6" w:val="single"/>
                <w:bottom w:color="808080" w:space="0" w:sz="18" w:val="single"/>
                <w:right w:color="808080" w:space="0" w:sz="6" w:val="single"/>
              </w:tcBorders>
              <w:vAlign w:val="center"/>
            </w:tcPr>
            <w:p w:rsidR="00000000" w:rsidDel="00000000" w:rsidP="00000000" w:rsidRDefault="00000000" w:rsidRPr="00000000" w14:paraId="00000080">
              <w:pPr>
                <w:spacing w:after="0" w:line="240" w:lineRule="auto"/>
                <w:jc w:val="center"/>
                <w:rPr>
                  <w:rFonts w:ascii="Arial" w:cs="Arial" w:eastAsia="Arial" w:hAnsi="Arial"/>
                  <w:b w:val="1"/>
                  <w:bCs w:val="1"/>
                  <w:smallCaps w:val="1"/>
                </w:rPr>
              </w:pPr>
              <w:r w:rsidDel="00000000" w:rsidR="00000000" w:rsidRPr="00000000">
                <w:rPr>
                  <w:rFonts w:ascii="Arial" w:cs="Arial" w:eastAsia="Arial" w:hAnsi="Arial"/>
                  <w:b w:val="1"/>
                  <w:bCs w:val="1"/>
                  <w:smallCaps w:val="1"/>
                  <w:rtl w:val="0"/>
                </w:rPr>
                <w:t xml:space="preserve">DOCUMENTOS PARA O CLIENTE</w:t>
              </w:r>
            </w:p>
          </w:tc>
          <w:tc>
            <w:tcPr>
              <w:vMerge w:val="continue"/>
              <w:tcBorders>
                <w:top w:color="808080" w:space="0" w:sz="18" w:val="single"/>
                <w:left w:color="808080" w:space="0" w:sz="6" w:val="single"/>
                <w:bottom w:color="808080" w:space="0" w:sz="18" w:val="single"/>
                <w:right w:color="808080" w:space="0" w:sz="18" w:val="single"/>
              </w:tcBorders>
              <w:vAlign w:val="center"/>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mallCaps w:val="1"/>
                </w:rPr>
              </w:pPr>
              <w:r w:rsidDel="00000000" w:rsidR="00000000" w:rsidRPr="00000000">
                <w:rPr>
                  <w:rtl w:val="0"/>
                </w:rPr>
              </w:r>
            </w:p>
          </w:tc>
        </w:tr>
      </w:tbl>
    </w:sdtContent>
  </w:sdt>
  <w:p w:rsidR="00000000" w:rsidDel="00000000" w:rsidP="00000000" w:rsidRDefault="00000000" w:rsidRPr="00000000" w14:paraId="00000082">
    <w:pPr>
      <w:spacing w:after="0" w:line="240" w:lineRule="auto"/>
      <w:rPr>
        <w:rFonts w:ascii="Arial" w:cs="Arial" w:eastAsia="Arial" w:hAnsi="Arial"/>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Table1">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financas.belem.pa.gov.br/" TargetMode="External"/><Relationship Id="rId10" Type="http://schemas.openxmlformats.org/officeDocument/2006/relationships/hyperlink" Target="https://ridigital.org.br/" TargetMode="External"/><Relationship Id="rId13" Type="http://schemas.openxmlformats.org/officeDocument/2006/relationships/hyperlink" Target="https://www.cnj.jus.br/atos_normativos/" TargetMode="External"/><Relationship Id="rId12" Type="http://schemas.openxmlformats.org/officeDocument/2006/relationships/hyperlink" Target="https://codem.belem.pa.gov.b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iat.belem.pa.gov.br:8081/cadastro/pages/imobiliario/externo/imovelConsultaExterna.jsf" TargetMode="External"/><Relationship Id="rId15" Type="http://schemas.openxmlformats.org/officeDocument/2006/relationships/hyperlink" Target="https://cartoriosdopara.com.br/emolumentos-geral/" TargetMode="External"/><Relationship Id="rId14" Type="http://schemas.openxmlformats.org/officeDocument/2006/relationships/hyperlink" Target="https://cartoriosdopara.com.br/" TargetMode="External"/><Relationship Id="rId17" Type="http://schemas.openxmlformats.org/officeDocument/2006/relationships/header" Target="header1.xml"/><Relationship Id="rId16"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1.xml"/><Relationship Id="rId7" Type="http://schemas.openxmlformats.org/officeDocument/2006/relationships/hyperlink" Target="http://www.2sribelem.com.br" TargetMode="External"/><Relationship Id="rId8" Type="http://schemas.openxmlformats.org/officeDocument/2006/relationships/hyperlink" Target="http://www.ridigital.org.b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glhx3WeUX8hXba47YNaiG07Qmw==">CgMxLjAaHwoBMBIaChgICVIUChJ0YWJsZS53bDBzbzVucDE1N3EaHwoBMRIaChgICVIUChJ0YWJsZS41eTA1cmY2bDcxZGc4AHIhMVBaeGRSeTA0dmFzT2w2Q2RCcng3RlliZS04TXE1WTNi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