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ESPECIALIDADE OBJETIVA - LAYOUT DE APARTAMENTO QUE NÃO ALTERE A ÁREA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LEI Nº 6.015/1973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averbação especialidade objetiva relacionado ao layout de apartamento que não altere a área.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DECLARAÇÃO DO TÉCNICO RESPONSÁVEL</w:t>
            </w:r>
          </w:p>
          <w:p w:rsidR="00000000" w:rsidDel="00000000" w:rsidP="00000000" w:rsidRDefault="00000000" w:rsidRPr="00000000" w14:paraId="0000005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Lei dos Registros Públicos, Art. 221, II e art. 223 e Código de Normas Art. 7º</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Original com as firmas reconhecidas, constando o endereço completo, matrícula/transcrição do imóvel, data da construção e o valor da obra; especificações internas, metragens, perímetro, confrontações.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ART do CREA ou RRT do CAU,</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Devidamente assinadas, datadas, com firmas reconhecidas e comprovante de quitação. (caso seja possível aferir autenticidade eletronicamente, não é necessário apresentar o comprovante de quitação).</w:t>
            </w:r>
          </w:p>
        </w:tc>
      </w:tr>
      <w:tr>
        <w:trPr>
          <w:cantSplit w:val="1"/>
          <w:trHeight w:val="1307.3876953125" w:hRule="atLeast"/>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LAUDO DE VISTORIA TÉCNICA</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Expedido pela Secretaria de Urbanismo de Belém – SEURB, indicando a área construída e atestando que o imóvel se encontra em estado de habitabilidade. Documentos originais e com as firmas reconhecidas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A modificação de layout pretendida deve ser permitida pela Instituição de Condomínio e/ou Convenção de Condomínio, devidamente registradas na Matrícula</w:t>
            </w:r>
          </w:p>
          <w:p w:rsidR="00000000" w:rsidDel="00000000" w:rsidP="00000000" w:rsidRDefault="00000000" w:rsidRPr="00000000" w14:paraId="00000061">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1.087 e 1.088 do Código de Normas do Estado do Pará</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alteração da convenção de condomínio edilício depende de aprovação, em assembleia regularmente convocada, de pelo menos 2/3 (dois terços) dos titulares dos direitos reais registrados, salvo se a convenção a ser alterada exigir quórum superior. A alteração da instituição de condomínio exige a anuência da totalidade dos condôminos, presumindo-se representante do casal qualquer um dos cônjuges signatários.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Declaração emitida pelo Síndico atestando que não houve alteração de área ou medida perimetral (firma reconhecida).</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Apresentar instrumento que indique os poderes do Síndico.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Laudo de vistoria técnica emitida pelo corpo de bombeiros militar (firma reconhecida)</w:t>
            </w:r>
          </w:p>
          <w:p w:rsidR="00000000" w:rsidDel="00000000" w:rsidP="00000000" w:rsidRDefault="00000000" w:rsidRPr="00000000" w14:paraId="00000066">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4º II – da Portaria Federal nº 108, de 12 de julho de 2019 do Ministério da Justiça e Segurança Pública/Secretaria Nacional de Segurança Pública.</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Atestando que a edificação atende os termos da legislação vigente; e se as medidas de segurança contra incêndios e emergências foram atendidas nos termos da legislação vigente</w:t>
            </w:r>
          </w:p>
        </w:tc>
      </w:tr>
    </w:tbl>
    <w:p w:rsidR="00000000" w:rsidDel="00000000" w:rsidP="00000000" w:rsidRDefault="00000000" w:rsidRPr="00000000" w14:paraId="00000068">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6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6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E">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422443881"/>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72">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4">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6">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78">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7A">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C">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D">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E">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F">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80">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1">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1.png"/>
          <a:graphic>
            <a:graphicData uri="http://schemas.openxmlformats.org/drawingml/2006/picture">
              <pic:pic>
                <pic:nvPicPr>
                  <pic:cNvPr id="0" name="image1.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542104209"/>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3">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4">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5">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86">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87">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88">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A">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C">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eIG/siYCAP611qVxmM7aQ1QTgw==">CgMxLjAaHwoBMBIaChgICVIUChJ0YWJsZS53bDBzbzVucDE1N3EaHwoBMRIaChgICVIUChJ0YWJsZS41eTA1cmY2bDcxZGc4AHIhMWFZOXZlOGo2ZW9lNlRzMk1DblZCUGdtWGpuYjgxUEF1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