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0" w:before="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widowControl w:val="1"/>
        <w:spacing w:after="0" w:before="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widowControl w:val="1"/>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widowControl w:val="1"/>
              <w:spacing w:after="0" w:before="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widowControl w:val="1"/>
              <w:tabs>
                <w:tab w:val="center" w:leader="none" w:pos="4252"/>
                <w:tab w:val="right" w:leader="none" w:pos="8504"/>
              </w:tabs>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widowControl w:val="1"/>
              <w:tabs>
                <w:tab w:val="center" w:leader="none" w:pos="4252"/>
                <w:tab w:val="right" w:leader="none" w:pos="8504"/>
              </w:tabs>
              <w:spacing w:after="0" w:before="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PREMONITÓRIA</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ART. 828 DO CÓDIGO DE PROCESSO CIVIL;  LEI Nº 6.015/1973 (LEI DE REGISTROS PÚBLICOS);  ARTIGOS DO CÓDIGO DE NORMAS E SERVIÇOS NOTARIAIS E DE REGISTRO ESTADUAL (TJPA); CÓDIGO NACIONAL DE NORMAS DA CORREGEDORIA NACIONAL DE JUSTIÇA DO CONSELHO NACIONAL DE JUSTIÇA -  FORO EXTRAJUDICIAL (CNN/CN/CNJ-EXTRA)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18"/>
          <w:szCs w:val="18"/>
          <w:rtl w:val="0"/>
        </w:rPr>
        <w:t xml:space="preserve">CONCEITO</w:t>
      </w:r>
      <w:r w:rsidDel="00000000" w:rsidR="00000000" w:rsidRPr="00000000">
        <w:rPr>
          <w:rFonts w:ascii="Arial" w:cs="Arial" w:eastAsia="Arial" w:hAnsi="Arial"/>
          <w:sz w:val="18"/>
          <w:szCs w:val="18"/>
          <w:rtl w:val="0"/>
        </w:rPr>
        <w:t xml:space="preserve">: Este checklist tem o objetivo de orientar o cliente sobre os documentos necessários para o pedido de averbação premonitória. O Código de Processo Civil prevê, em seu artigo 828, como o exequente pode levar uma ação de execução ao Cartório para fins de anotação na matrícula dos imóveis registrados em nome do executado, ato este chamado de averbação premonitória. Nessa ótica, a finalidade desta publicação é trazer os requisitos necessários para a anotação e para o cancelamento da Averbação Premonitória. Conforme disposto no Código de Processo Civil, o exequente poderá obter certidão de que a execução foi admitida pelo juiz para fins de averbação no Registro de Imóveis. Além disso, o próprio juiz pode oficiar o Cartório ordenando a prática do ato. Após a averbação, presume-se fraude à execução a alienação ou oneração de bens efetuada (art. 828, §4º, NCPC). Tem-se que, após a formalização da penhora sobre os bens necessários à satisfação da dívida, o exequente deve providenciar, no prazo de 10 dias, o cancelamento das averbações daqueles não penhorados; podendo o juiz o fazer, de ofício ou a requerimento, em caso de inobservância ao prazo (art. 828, §§2º e 3º, NCPC).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a averbação</w:t>
            </w:r>
          </w:p>
          <w:p w:rsidR="00000000" w:rsidDel="00000000" w:rsidP="00000000" w:rsidRDefault="00000000" w:rsidRPr="00000000" w14:paraId="00000016">
            <w:pPr>
              <w:spacing w:after="0" w:lineRule="auto"/>
              <w:ind w:left="0"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13, inciso II; art. 222; art. 221, inciso II; art. 250, II,  da Lei nº 6.015/1973</w:t>
            </w:r>
          </w:p>
          <w:p w:rsidR="00000000" w:rsidDel="00000000" w:rsidP="00000000" w:rsidRDefault="00000000" w:rsidRPr="00000000" w14:paraId="0000001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 </w:t>
            </w:r>
          </w:p>
          <w:p w:rsidR="00000000" w:rsidDel="00000000" w:rsidP="00000000" w:rsidRDefault="00000000" w:rsidRPr="00000000" w14:paraId="0000001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no cartório de notas. </w:t>
            </w:r>
          </w:p>
          <w:p w:rsidR="00000000" w:rsidDel="00000000" w:rsidP="00000000" w:rsidRDefault="00000000" w:rsidRPr="00000000" w14:paraId="0000001B">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ou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C">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1D">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II c/c art. 210 do Provimento nº 149/2023 do CNJ e Provimento nº 180/2024 do CNJ</w:t>
            </w:r>
          </w:p>
          <w:p w:rsidR="00000000" w:rsidDel="00000000" w:rsidP="00000000" w:rsidRDefault="00000000" w:rsidRPr="00000000" w14:paraId="0000001E">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1">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nº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domicílio ou residência, número de inscrição no Cadastro de Pessoas Físicas (CPF), número do documento oficial de identidade (RG) ou, na ausência deste, filiação. 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3">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nº 6.015/1973; artigo 661, §1º, do Código Civil</w:t>
            </w:r>
            <w:r w:rsidDel="00000000" w:rsidR="00000000" w:rsidRPr="00000000">
              <w:rPr>
                <w:rtl w:val="0"/>
              </w:rPr>
            </w:r>
          </w:p>
          <w:p w:rsidR="00000000" w:rsidDel="00000000" w:rsidP="00000000" w:rsidRDefault="00000000" w:rsidRPr="00000000" w14:paraId="00000025">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6">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7">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2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C">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2D">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eletrônica avançada ou qualificada. </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30">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31">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w:t>
            </w:r>
          </w:p>
          <w:p w:rsidR="00000000" w:rsidDel="00000000" w:rsidP="00000000" w:rsidRDefault="00000000" w:rsidRPr="00000000" w14:paraId="0000003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 (30 dias), expedidas pelo Cartório de origem.</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comprobatórios para </w:t>
            </w:r>
            <w:r w:rsidDel="00000000" w:rsidR="00000000" w:rsidRPr="00000000">
              <w:rPr>
                <w:rFonts w:ascii="Arial" w:cs="Arial" w:eastAsia="Arial" w:hAnsi="Arial"/>
                <w:b w:val="1"/>
                <w:bCs w:val="1"/>
                <w:sz w:val="20"/>
                <w:szCs w:val="20"/>
                <w:rtl w:val="0"/>
              </w:rPr>
              <w:t xml:space="preserve">averbação da qualificação subjetiva (dados do proprietário)</w:t>
            </w:r>
            <w:r w:rsidDel="00000000" w:rsidR="00000000" w:rsidRPr="00000000">
              <w:rPr>
                <w:rFonts w:ascii="Arial" w:cs="Arial" w:eastAsia="Arial" w:hAnsi="Arial"/>
                <w:sz w:val="20"/>
                <w:szCs w:val="20"/>
                <w:rtl w:val="0"/>
              </w:rPr>
              <w:t xml:space="preserve">, quando houver divergência ou desatualização dos dados constantes no registro.</w:t>
            </w:r>
          </w:p>
          <w:p w:rsidR="00000000" w:rsidDel="00000000" w:rsidP="00000000" w:rsidRDefault="00000000" w:rsidRPr="00000000" w14:paraId="00000037">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V c/c 832 e seguintes c/c do Código de Normas do Pará c/c art. 1º, IV do Dec. nº 93.240/86; Art. 440-AS, I, II c/c Art. 440-AT, do Código Nacional de Normas. </w:t>
            </w:r>
          </w:p>
          <w:p w:rsidR="00000000" w:rsidDel="00000000" w:rsidP="00000000" w:rsidRDefault="00000000" w:rsidRPr="00000000" w14:paraId="00000038">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os dados do proprietário estejam desatualizados no registro/matrícula do imóvel, deverá ser solicitada a averbação correspondente (ex.: retificação de dados pessoais, averbação de casamento, separação, divórcio ou alteração de razão social).</w:t>
            </w:r>
          </w:p>
          <w:p w:rsidR="00000000" w:rsidDel="00000000" w:rsidP="00000000" w:rsidRDefault="00000000" w:rsidRPr="00000000" w14:paraId="0000003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comprobatórios devem ser apresentados em via original ou cópia autenticada em cartório.</w:t>
            </w:r>
          </w:p>
          <w:p w:rsidR="00000000" w:rsidDel="00000000" w:rsidP="00000000" w:rsidRDefault="00000000" w:rsidRPr="00000000" w14:paraId="0000003B">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Dependendo do caso, poderá ser necessário cumprir checklist específico do tipo de averbação.</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Escritura Pública de Pacto Antenupcial (via original).</w:t>
            </w:r>
          </w:p>
          <w:p w:rsidR="00000000" w:rsidDel="00000000" w:rsidP="00000000" w:rsidRDefault="00000000" w:rsidRPr="00000000" w14:paraId="0000003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já tenha sido registrado, informar o número do registro e a circunscrição do Registro de Imóveis onde o pacto foi registrado no Livro 3 – Registro Auxiliar.</w:t>
            </w:r>
          </w:p>
          <w:p w:rsidR="00000000" w:rsidDel="00000000" w:rsidP="00000000" w:rsidRDefault="00000000" w:rsidRPr="00000000" w14:paraId="0000003E">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833 do Código de Normas do Pará </w:t>
            </w:r>
          </w:p>
          <w:p w:rsidR="00000000" w:rsidDel="00000000" w:rsidP="00000000" w:rsidRDefault="00000000" w:rsidRPr="00000000" w14:paraId="0000003F">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casamento foi celebrado com regime de bens que exige pacto antenupcial (como separação convencional de bens, participação final nos aquestos, entre outros), é necessário que o pacto esteja previamente registrado no Livro 3 – Registro Auxiliar do Registro de Imóveis do domicílio conjugal dos nubentes.</w:t>
            </w:r>
          </w:p>
          <w:p w:rsidR="00000000" w:rsidDel="00000000" w:rsidP="00000000" w:rsidRDefault="00000000" w:rsidRPr="00000000" w14:paraId="0000004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esse registro, o pacto também deverá ser averbado na matrícula do imóvel (Livro 2 – Registro Geral), sendo obrigatória a apresentação da Escritura Pública de Pacto Antenupcial em via original.</w:t>
            </w:r>
          </w:p>
          <w:p w:rsidR="00000000" w:rsidDel="00000000" w:rsidP="00000000" w:rsidRDefault="00000000" w:rsidRPr="00000000" w14:paraId="0000004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pacto já tenha sido registrado em outro Registro de Imóveis, o interessado deverá informar o número do registro e a respectiva circunscrição.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(dados do imóvel)</w:t>
            </w:r>
            <w:r w:rsidDel="00000000" w:rsidR="00000000" w:rsidRPr="00000000">
              <w:rPr>
                <w:rFonts w:ascii="Arial" w:cs="Arial" w:eastAsia="Arial" w:hAnsi="Arial"/>
                <w:sz w:val="20"/>
                <w:szCs w:val="20"/>
                <w:rtl w:val="0"/>
              </w:rPr>
              <w:t xml:space="preserve">, quando houver alteração ou informação ainda não constante na matrícula (ex.: inscrição imobiliária, construção ou domínio).</w:t>
            </w:r>
          </w:p>
          <w:p w:rsidR="00000000" w:rsidDel="00000000" w:rsidP="00000000" w:rsidRDefault="00000000" w:rsidRPr="00000000" w14:paraId="0000004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p w:rsidR="00000000" w:rsidDel="00000000" w:rsidP="00000000" w:rsidRDefault="00000000" w:rsidRPr="00000000" w14:paraId="00000045">
            <w:pPr>
              <w:spacing w:after="0" w:lineRule="auto"/>
              <w:jc w:val="both"/>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4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(Secretaria de Finanças do Município de Belém), pelo link:</w:t>
            </w:r>
          </w:p>
          <w:p w:rsidR="00000000" w:rsidDel="00000000" w:rsidP="00000000" w:rsidRDefault="00000000" w:rsidRPr="00000000" w14:paraId="00000048">
            <w:pPr>
              <w:spacing w:after="0" w:lineRule="auto"/>
              <w:jc w:val="both"/>
              <w:rPr>
                <w:rFonts w:ascii="Arial" w:cs="Arial" w:eastAsia="Arial" w:hAnsi="Arial"/>
                <w:sz w:val="20"/>
                <w:szCs w:val="20"/>
              </w:rPr>
            </w:pPr>
            <w:hyperlink r:id="rId9">
              <w:r w:rsidDel="00000000" w:rsidR="00000000" w:rsidRPr="00000000">
                <w:rPr>
                  <w:rFonts w:ascii="Arial" w:cs="Arial" w:eastAsia="Arial" w:hAnsi="Arial"/>
                  <w:color w:val="1155cc"/>
                  <w:sz w:val="20"/>
                  <w:szCs w:val="20"/>
                  <w:u w:val="single"/>
                  <w:rtl w:val="0"/>
                </w:rPr>
                <w:t xml:space="preserve">http://siat.belem.pa.gov.br:8081/cadastro/pages/imobiliario/externo/imovelConsultaExterna.jsf</w:t>
              </w:r>
            </w:hyperlink>
            <w:r w:rsidDel="00000000" w:rsidR="00000000" w:rsidRPr="00000000">
              <w:rPr>
                <w:rFonts w:ascii="Arial" w:cs="Arial" w:eastAsia="Arial" w:hAnsi="Arial"/>
                <w:sz w:val="20"/>
                <w:szCs w:val="20"/>
                <w:rtl w:val="0"/>
              </w:rPr>
              <w:t xml:space="preserve">. Caso seja necessária a averbação de alguma informação do imóvel, poderão ser solicitados documentos complementares, conforme o caso.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ou certidões dos registros anteriores do imóvel que indiquem a natureza do </w:t>
            </w:r>
            <w:r w:rsidDel="00000000" w:rsidR="00000000" w:rsidRPr="00000000">
              <w:rPr>
                <w:rFonts w:ascii="Arial" w:cs="Arial" w:eastAsia="Arial" w:hAnsi="Arial"/>
                <w:b w:val="1"/>
                <w:bCs w:val="1"/>
                <w:sz w:val="20"/>
                <w:szCs w:val="20"/>
                <w:rtl w:val="0"/>
              </w:rPr>
              <w:t xml:space="preserve">domínio</w:t>
            </w:r>
            <w:r w:rsidDel="00000000" w:rsidR="00000000" w:rsidRPr="00000000">
              <w:rPr>
                <w:rFonts w:ascii="Arial" w:cs="Arial" w:eastAsia="Arial" w:hAnsi="Arial"/>
                <w:sz w:val="20"/>
                <w:szCs w:val="20"/>
                <w:rtl w:val="0"/>
              </w:rPr>
              <w:t xml:space="preserve">, quando houver.</w:t>
            </w:r>
          </w:p>
          <w:p w:rsidR="00000000" w:rsidDel="00000000" w:rsidP="00000000" w:rsidRDefault="00000000" w:rsidRPr="00000000" w14:paraId="0000004A">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440-AR do Código Nacional de Normas; Art. 825 e seguintes do Código de Normas do Pará</w:t>
            </w:r>
          </w:p>
          <w:p w:rsidR="00000000" w:rsidDel="00000000" w:rsidP="00000000" w:rsidRDefault="00000000" w:rsidRPr="00000000" w14:paraId="0000004B">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Deve-se verificar nos registros anteriores do imóvel se há informação sobre a alodialidade ou tipo de domínio, especialmente quando se tratar de domínio da União (SPU) ou do Município (CODEM).</w:t>
            </w:r>
          </w:p>
          <w:p w:rsidR="00000000" w:rsidDel="00000000" w:rsidP="00000000" w:rsidRDefault="00000000" w:rsidRPr="00000000" w14:paraId="0000004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essa informação conste nos registros anteriores, ela deverá ser reproduzida no ato indicando expressamente o tipo de domínio do imóvel.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do Registro Anterior do imóvel (se houver), contendo a </w:t>
            </w:r>
            <w:r w:rsidDel="00000000" w:rsidR="00000000" w:rsidRPr="00000000">
              <w:rPr>
                <w:rFonts w:ascii="Arial" w:cs="Arial" w:eastAsia="Arial" w:hAnsi="Arial"/>
                <w:b w:val="1"/>
                <w:bCs w:val="1"/>
                <w:sz w:val="20"/>
                <w:szCs w:val="20"/>
                <w:rtl w:val="0"/>
              </w:rPr>
              <w:t xml:space="preserve">descrição completa e atualizada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4F">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da Lei 6.015/73 c/c Art. 825 e seguintes do Código de Normas do Pará</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que o imóvel esteja especializado objetivamente no registro anterior, ou seja, que a certidão apresente a descrição completa do bem.</w:t>
            </w:r>
          </w:p>
          <w:p w:rsidR="00000000" w:rsidDel="00000000" w:rsidP="00000000" w:rsidRDefault="00000000" w:rsidRPr="00000000" w14:paraId="0000005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Se o imóvel for urbano:</w:t>
            </w:r>
          </w:p>
          <w:p w:rsidR="00000000" w:rsidDel="00000000" w:rsidP="00000000" w:rsidRDefault="00000000" w:rsidRPr="00000000" w14:paraId="0000005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conter, sempre que possível: características e confrontações, localização, área, medidas perimetrais, logradouro, número de designação e inscrição de IPTU, se houver.</w:t>
            </w:r>
          </w:p>
          <w:p w:rsidR="00000000" w:rsidDel="00000000" w:rsidP="00000000" w:rsidRDefault="00000000" w:rsidRPr="00000000" w14:paraId="0000005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Se o imóvel for rural:</w:t>
            </w:r>
          </w:p>
          <w:p w:rsidR="00000000" w:rsidDel="00000000" w:rsidP="00000000" w:rsidRDefault="00000000" w:rsidRPr="00000000" w14:paraId="0000005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indicar o código do imóvel, os dados constantes do CCIR, a denominação do imóvel rural, bem como suas características, confrontações, localização e área.</w:t>
            </w:r>
          </w:p>
          <w:p w:rsidR="00000000" w:rsidDel="00000000" w:rsidP="00000000" w:rsidRDefault="00000000" w:rsidRPr="00000000" w14:paraId="0000005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urbano não estiver especializado objetivamente no registro anterior, o cartório poderá solicitar, por nota de exigência, a apresentação de material técnico (planta, memorial descritivo e ART/RRT) para a correta individualização do imóvel, conforme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com fundamento no art. 213, inciso I, alíneas b, c, d, e, f da Lei nº 6.015/1973, combinado com o art. 440-AQ do Código Nacional de Normas.</w:t>
            </w:r>
          </w:p>
          <w:p w:rsidR="00000000" w:rsidDel="00000000" w:rsidP="00000000" w:rsidRDefault="00000000" w:rsidRPr="00000000" w14:paraId="0000005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for </w:t>
            </w:r>
            <w:r w:rsidDel="00000000" w:rsidR="00000000" w:rsidRPr="00000000">
              <w:rPr>
                <w:rFonts w:ascii="Arial" w:cs="Arial" w:eastAsia="Arial" w:hAnsi="Arial"/>
                <w:b w:val="1"/>
                <w:bCs w:val="1"/>
                <w:sz w:val="20"/>
                <w:szCs w:val="20"/>
                <w:rtl w:val="0"/>
              </w:rPr>
              <w:t xml:space="preserve">unidade autônoma de empreendimento</w:t>
            </w:r>
            <w:r w:rsidDel="00000000" w:rsidR="00000000" w:rsidRPr="00000000">
              <w:rPr>
                <w:rFonts w:ascii="Arial" w:cs="Arial" w:eastAsia="Arial" w:hAnsi="Arial"/>
                <w:sz w:val="20"/>
                <w:szCs w:val="20"/>
                <w:rtl w:val="0"/>
              </w:rPr>
              <w:t xml:space="preserve"> vertical, horizontal ou loteamento, deverá ser verificado o registro anterior (matrícula matriz), a fim de extrair de lá as características objetivas do imóvel.</w:t>
            </w:r>
          </w:p>
          <w:p w:rsidR="00000000" w:rsidDel="00000000" w:rsidP="00000000" w:rsidRDefault="00000000" w:rsidRPr="00000000" w14:paraId="0000005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no registro anterior não constem as características objetivas obrigatórias, poderá ser solicitado, por nota de exigência, a apresentação de material técnico (planta, memorial descritivo e ART/RRT), bem como Laudo de Vistoria, quando não houver averbação de construção na matrícula matriz ou na matrícula da unidade autônoma.</w:t>
            </w:r>
          </w:p>
          <w:p w:rsidR="00000000" w:rsidDel="00000000" w:rsidP="00000000" w:rsidRDefault="00000000" w:rsidRPr="00000000" w14:paraId="0000005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Nesses casos, poderá ser utilizado o checklist de </w:t>
            </w:r>
            <w:r w:rsidDel="00000000" w:rsidR="00000000" w:rsidRPr="00000000">
              <w:rPr>
                <w:rFonts w:ascii="Arial" w:cs="Arial" w:eastAsia="Arial" w:hAnsi="Arial"/>
                <w:b w:val="1"/>
                <w:bCs w:val="1"/>
                <w:sz w:val="20"/>
                <w:szCs w:val="20"/>
                <w:rtl w:val="0"/>
              </w:rPr>
              <w:t xml:space="preserve">convalidação de construção (</w:t>
            </w:r>
            <w:r w:rsidDel="00000000" w:rsidR="00000000" w:rsidRPr="00000000">
              <w:rPr>
                <w:rFonts w:ascii="Arial" w:cs="Arial" w:eastAsia="Arial" w:hAnsi="Arial"/>
                <w:sz w:val="20"/>
                <w:szCs w:val="20"/>
                <w:rtl w:val="0"/>
              </w:rPr>
              <w:t xml:space="preserve">quando não houver averbação de construção) ou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conforme a situação verificada no registro.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Judicial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Original ou cópia autenticada pela Vara, constando o nº do processo, os nomes e números de inscrição do RG e CPF/CNPJ do Exequente e do Executado, a matrícula do imóvel e o valor da causa, nos termos do art. 828 do Código de Processo Civil vigente;</w:t>
            </w:r>
          </w:p>
          <w:p w:rsidR="00000000" w:rsidDel="00000000" w:rsidP="00000000" w:rsidRDefault="00000000" w:rsidRPr="00000000" w14:paraId="0000005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executado deverá figurar como proprietário da matrícula indicada, pois caso contrário, sob pena de violação do princípio da continuidade registral (art. 195 e 237 da Lei 6015/73), não poderá ser realizado o ato.</w:t>
            </w:r>
          </w:p>
        </w:tc>
      </w:tr>
    </w:tbl>
    <w:p w:rsidR="00000000" w:rsidDel="00000000" w:rsidP="00000000" w:rsidRDefault="00000000" w:rsidRPr="00000000" w14:paraId="0000005C">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5D">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5E">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5F">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60">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61">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nº 6.015/1973).</w:t>
      </w:r>
    </w:p>
    <w:p w:rsidR="00000000" w:rsidDel="00000000" w:rsidP="00000000" w:rsidRDefault="00000000" w:rsidRPr="00000000" w14:paraId="00000062">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693604907"/>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3">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64">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Oficial</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5">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66">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7">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68">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9">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6A">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B">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6C">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D">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6E">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F">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70">
                <w:pPr>
                  <w:widowControl w:val="0"/>
                  <w:spacing w:after="0" w:line="240" w:lineRule="auto"/>
                  <w:jc w:val="center"/>
                  <w:rPr>
                    <w:rFonts w:ascii="Arial" w:cs="Arial" w:eastAsia="Arial" w:hAnsi="Arial"/>
                    <w:b w:val="1"/>
                    <w:bCs w:val="1"/>
                    <w:sz w:val="18"/>
                    <w:szCs w:val="18"/>
                  </w:rPr>
                </w:pPr>
                <w:hyperlink r:id="rId15">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1">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72">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73">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74">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16"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75">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6">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77">
      <w:pPr>
        <w:jc w:val="both"/>
        <w:rPr>
          <w:rFonts w:ascii="Arial" w:cs="Arial" w:eastAsia="Arial" w:hAnsi="Arial"/>
          <w:b w:val="1"/>
          <w:bCs w:val="1"/>
          <w:sz w:val="20"/>
          <w:szCs w:val="20"/>
        </w:rPr>
      </w:pPr>
      <w:r w:rsidDel="00000000" w:rsidR="00000000" w:rsidRPr="00000000">
        <w:rPr>
          <w:rtl w:val="0"/>
        </w:rPr>
      </w:r>
    </w:p>
    <w:sectPr>
      <w:headerReference r:id="rId17" w:type="default"/>
      <w:footerReference r:id="rId18"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-333368</wp:posOffset>
          </wp:positionH>
          <wp:positionV relativeFrom="paragraph">
            <wp:posOffset>114300</wp:posOffset>
          </wp:positionV>
          <wp:extent cx="7850063" cy="432378"/>
          <wp:effectExtent b="0" l="0" r="0" t="0"/>
          <wp:wrapNone/>
          <wp:docPr id="1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247035</wp:posOffset>
          </wp:positionV>
          <wp:extent cx="1514475" cy="492586"/>
          <wp:effectExtent b="0" l="0" r="0" t="0"/>
          <wp:wrapNone/>
          <wp:docPr id="15" name="image3.png"/>
          <a:graphic>
            <a:graphicData uri="http://schemas.openxmlformats.org/drawingml/2006/picture">
              <pic:pic>
                <pic:nvPicPr>
                  <pic:cNvPr id="0" name="image3.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1925205003"/>
      <w:tag w:val="goog_rdk_1"/>
    </w:sdtPr>
    <w:sdtContent>
      <w:tbl>
        <w:tblPr>
          <w:tblStyle w:val="Table4"/>
          <w:tblpPr w:leftFromText="180" w:rightFromText="180" w:topFromText="180" w:bottomFromText="180" w:vertAnchor="text" w:horzAnchor="text" w:tblpX="144.80314960629954"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9">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A">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7B">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7C">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7D">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7E">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4"/>
                  <w:szCs w:val="14"/>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80">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mallCaps w:val="1"/>
                </w:rPr>
              </w:pPr>
              <w:r w:rsidDel="00000000" w:rsidR="00000000" w:rsidRPr="00000000">
                <w:rPr>
                  <w:rtl w:val="0"/>
                </w:rPr>
              </w:r>
            </w:p>
          </w:tc>
        </w:tr>
      </w:tbl>
    </w:sdtContent>
  </w:sdt>
  <w:p w:rsidR="00000000" w:rsidDel="00000000" w:rsidP="00000000" w:rsidRDefault="00000000" w:rsidRPr="00000000" w14:paraId="00000082">
    <w:pPr>
      <w:spacing w:after="0" w:line="240" w:lineRule="auto"/>
      <w:rPr>
        <w:rFonts w:ascii="Arial" w:cs="Arial" w:eastAsia="Arial" w:hAnsi="Arial"/>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inancas.belem.pa.gov.br/" TargetMode="External"/><Relationship Id="rId10" Type="http://schemas.openxmlformats.org/officeDocument/2006/relationships/hyperlink" Target="https://ridigital.org.br/" TargetMode="External"/><Relationship Id="rId13" Type="http://schemas.openxmlformats.org/officeDocument/2006/relationships/hyperlink" Target="https://www.cnj.jus.br/atos_normativos/" TargetMode="External"/><Relationship Id="rId12" Type="http://schemas.openxmlformats.org/officeDocument/2006/relationships/hyperlink" Target="https://codem.belem.pa.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at.belem.pa.gov.br:8081/cadastro/pages/imobiliario/externo/imovelConsultaExterna.jsf" TargetMode="External"/><Relationship Id="rId15" Type="http://schemas.openxmlformats.org/officeDocument/2006/relationships/hyperlink" Target="https://cartoriosdopara.com.br/emolumentos-geral/" TargetMode="External"/><Relationship Id="rId14" Type="http://schemas.openxmlformats.org/officeDocument/2006/relationships/hyperlink" Target="https://cartoriosdopara.com.br/" TargetMode="External"/><Relationship Id="rId17" Type="http://schemas.openxmlformats.org/officeDocument/2006/relationships/header" Target="header1.xml"/><Relationship Id="rId16"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CsOqmNstfxN3A8ldBAspEDUzjQ==">CgMxLjAaHwoBMBIaChgICVIUChJ0YWJsZS53bDBzbzVucDE1N3EaHwoBMRIaChgICVIUChJ0YWJsZS41eTA1cmY2bDcxZGc4AHIhMXJ4Z2RGOFZkRm5jTmxQamZQQVdlUEVpa20zS1VOc3Ax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