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29.527559055116512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HISTÓRICO DAS REVISÕES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29.527559055116512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Este documento teve sua primeira versão elaborada em 10/03/2026, com base nas descrições previstas legalmente e nas definições do Oficial do Segundo Ofício de Registro de Imóveis de Belém-PA.</w:t>
      </w:r>
      <w:r w:rsidDel="00000000" w:rsidR="00000000" w:rsidRPr="00000000">
        <w:rPr>
          <w:rtl w:val="0"/>
        </w:rPr>
      </w:r>
    </w:p>
    <w:tbl>
      <w:tblPr>
        <w:tblStyle w:val="Table1"/>
        <w:tblW w:w="11055.11811023622" w:type="dxa"/>
        <w:jc w:val="left"/>
        <w:tblInd w:w="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5.039370078741"/>
        <w:gridCol w:w="3685.039370078741"/>
        <w:gridCol w:w="3685.039370078741"/>
        <w:tblGridChange w:id="0">
          <w:tblGrid>
            <w:gridCol w:w="3685.039370078741"/>
            <w:gridCol w:w="3685.039370078741"/>
            <w:gridCol w:w="3685.039370078741"/>
          </w:tblGrid>
        </w:tblGridChange>
      </w:tblGrid>
      <w:tr>
        <w:trPr>
          <w:cantSplit w:val="0"/>
          <w:trHeight w:val="303.984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right="-20"/>
              <w:jc w:val="both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Revisão Nº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right="-20"/>
              <w:jc w:val="both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Natureza da Alteração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dbe5f1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2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Data</w:t>
            </w:r>
          </w:p>
        </w:tc>
      </w:tr>
      <w:tr>
        <w:trPr>
          <w:cantSplit w:val="0"/>
          <w:trHeight w:val="180.36241252691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Não se aplica.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-20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Não se aplica.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Não se aplica.</w:t>
            </w:r>
          </w:p>
        </w:tc>
      </w:tr>
      <w:tr>
        <w:trPr>
          <w:cantSplit w:val="0"/>
          <w:trHeight w:val="180.36241252691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4252"/>
                <w:tab w:val="right" w:leader="none" w:pos="8504"/>
              </w:tabs>
              <w:spacing w:after="0" w:line="240" w:lineRule="auto"/>
              <w:ind w:right="-20"/>
              <w:jc w:val="both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Elaborado por: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right="-20"/>
              <w:jc w:val="both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Revisado por: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tabs>
                <w:tab w:val="center" w:leader="none" w:pos="4252"/>
                <w:tab w:val="right" w:leader="none" w:pos="8504"/>
              </w:tabs>
              <w:spacing w:after="0" w:line="240" w:lineRule="auto"/>
              <w:ind w:right="-20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Aprovado por: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.984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Brenda Letícia Silva Gomes Bacelar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right="-20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Dra. Monique Braga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tabs>
                <w:tab w:val="center" w:leader="none" w:pos="4252"/>
                <w:tab w:val="right" w:leader="none" w:pos="8504"/>
              </w:tabs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Dr. Flavio Heleno Pereira de Sousa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bookmarkStart w:colFirst="0" w:colLast="0" w:name="_heading=h.41e6fdguoh7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CHECKLIST PARA O CLIENTE - REGISTRO DOS TÍTULOS DOS TERRITÓRIOS QUILOMBOLAS</w:t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PREVISÃO LEGAL: ART. 250, DA LEI Nº 6.015/73(LEI DE REGISTROS PÚBLICOS);  ARTIGOS DO CÓDIGO DE NORMAS E SERVIÇOS NOTARIAIS E DE REGISTRO ESTADUAL (TJPA); CÓDIGO NACIONAL DE NORMAS DA CORREGEDORIA NACIONAL DE JUSTIÇA DO CONSELHO NACIONAL DE JUSTIÇA -  FORO EXTRAJUDICIAL (CNN/ CN/CNJ-EXTRA) - PROVIMENTO Nº 149/2023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CONCEITO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: Este documento tem como base o Comunicado Oficial nº 003/2025, por meio do qual a Associação dos Notários e Registradores do Pará (ANOREG/PA), entidade representativa dos cartórios do Estado, juntamente com o Instituto de Registro de Imóveis do Pará (CRI/PA), no exercício de sua função institucional de orientação técnica e promoção da segurança jurídica no âmbito da atividade extrajudicial, informam os requisitos necessários para o ingresso, nos Cartórios de Registro de Imóveis do Estado do Pará, dos títulos referentes às áreas quilombolas asseguradas constitucionalmente às comunidades remanescentes de quilombos.</w:t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 objetivo é uniformizar entendimentos, assegurar a observância dos princípios registrais e garantir o efetivo cumprimento do direito à propriedade previsto no artigo 68 do Ato das Disposições Constitucionais Transitórias da Constituição Federal de 1988. (Fonte: Comunicado Oficial nº 003/2025 da ANOREG/PA e CRI/PA). Este checklist tem o objetivo de orientar o cliente sobre os documentos necessários para o pedido de  registro dos títulos dos territórios quilombolas. Marque os itens já providenciados e utilize as observações para saber onde e como obter cada documento.</w:t>
      </w:r>
      <w:r w:rsidDel="00000000" w:rsidR="00000000" w:rsidRPr="00000000">
        <w:rPr>
          <w:rtl w:val="0"/>
        </w:rPr>
      </w:r>
    </w:p>
    <w:tbl>
      <w:tblPr>
        <w:tblStyle w:val="Table2"/>
        <w:tblW w:w="11550.0" w:type="dxa"/>
        <w:jc w:val="left"/>
        <w:tblInd w:w="-62.007874015748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45"/>
        <w:gridCol w:w="5805"/>
        <w:tblGridChange w:id="0">
          <w:tblGrid>
            <w:gridCol w:w="5745"/>
            <w:gridCol w:w="58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  <w:shd w:fill="cfe2f3" w:val="clea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Documento / Item</w:t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  <w:shd w:fill="cfe2f3" w:val="clear"/>
          </w:tcPr>
          <w:p w:rsidR="00000000" w:rsidDel="00000000" w:rsidP="00000000" w:rsidRDefault="00000000" w:rsidRPr="00000000" w14:paraId="00000015">
            <w:pPr>
              <w:spacing w:after="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Observação ao Cliente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 Dados referentes ao imóvel (especialidade objetiva) </w:t>
            </w:r>
          </w:p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Localização: Planta e memorial descritivo. </w:t>
            </w:r>
          </w:p>
          <w:p w:rsidR="00000000" w:rsidDel="00000000" w:rsidP="00000000" w:rsidRDefault="00000000" w:rsidRPr="00000000" w14:paraId="00000019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Imóvel menor de 25 hectares: suas características, confrontações,  localização e área descrição com ângulos, azimutes e rumos do imóvel a  ser titulado, contendo pelo menos um vértice com ponto de amarração,  sendo indicados os confrontantes atuais. </w:t>
            </w:r>
          </w:p>
          <w:p w:rsidR="00000000" w:rsidDel="00000000" w:rsidP="00000000" w:rsidRDefault="00000000" w:rsidRPr="00000000" w14:paraId="0000001A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- Imóvel igual ou maior a 25 hectares: descrição georreferenciada do  imóvel a ser titulado com indicação das confrontações atuais e  certificação de não sobreposição no SIGEF (art. 9º e 10, VII, decreto n.  4.449/2002).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Representação associativa</w:t>
            </w:r>
          </w:p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Comprovação de existência de entidade  associativa legalmente constituída no Registro Civil das Pessoas Jurídicas que representará a comunidade remanescente de quilombo e  será a titular do domínio coletivo e pró-indiviso (art. 17, parágrafo único, decreto n. 4.887/2003).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Rule="auto"/>
              <w:jc w:val="both"/>
              <w:rPr>
                <w:rFonts w:ascii="Arial" w:cs="Arial" w:eastAsia="Arial" w:hAnsi="Arial"/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 Cadastro de Imóvel Rural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Apresentação de Comprovante de Cadastro  de Imóvel Rural – CCIR - (art. 22, §§º 3º e 4º da lei n. 4.947/66, art. 176, II, a e provimento CNJ 149/2023, art. 440-AQ IV, b, 1 (redação dada pelo  provimento CNJ 195/2025).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Cadastro Ambiental Rural de Povos e Comunidades Tradicionais (CAR/PCT)</w:t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(Provimento CNJ 149/2023, art. 440-AQ IV, b, 3 (redação dada pelo provimento CNJ 195/2025).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Isenção ITR</w:t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 população quilombola é isenta de recolhimento do ITR, nos termos do art. 3º da lei n. 9393/96.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Nirf ou CIB</w:t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Número do imóvel na Receita Federal (Nirf) ou do CIB,  quando efetivamente implantado, emitidos pela Secretaria da Receita Federal do Brasil (RFB); e (Provimento CNJ 149/2023, art. 440-AQ IV, b, 2,  incluído pelo Provimento CN n. 195/2025) 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☐ Gratuidade do Registro</w:t>
            </w:r>
          </w:p>
        </w:tc>
        <w:tc>
          <w:tcPr>
            <w:tcBorders>
              <w:top w:color="17365d" w:space="0" w:sz="4" w:val="single"/>
              <w:left w:color="17365d" w:space="0" w:sz="4" w:val="single"/>
              <w:bottom w:color="17365d" w:space="0" w:sz="4" w:val="single"/>
              <w:right w:color="17365d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Conforme decisão proferida pela Corregedoria  do Tribunal de Justiça do Estado do Pará, no Pedido de Providências nº 0001791-11.2023.2.00.0814, os registros dos títulos quilombolas deverão  ser isentos de emolumentos (gratuitos), desde que cumpram todos os  requisitos legais exigidos. </w:t>
            </w:r>
          </w:p>
        </w:tc>
      </w:tr>
    </w:tbl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Observações complementares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: 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Após a análise da documentação apresentada, o registrador poderá solicitar documentos complementares, caso necessário, para a correta qualificação do pedido, ou seja, outros documentos poderão ser solicitados após a análise do caso concreto para a correta qualificação do título e especialização da matrícula, nos termos da legislação vigente.</w:t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Recomenda-se que o Oficial de Registro de Imóveis efetue a notificação da  Secretaria do Patrimônio da União se houver suspeita de que as áreas tituladas sejam  propriedade da União, por exemplo, terrenos de marinha, marginais de rios, ilhas e  lagos (art. 10, Decreto nº 4.887/2003)</w:t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Reiteramos o compromisso dos Cartórios do Estado do Pará com a promoção  da cidadania, o respeito às comunidades tradicionais e a concretização dos direitos  constitucionais assegurados às populações remanescentes de quilombos. 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Colocamo-nos à disposição para colaborar com os órgãos públicos, movimentos sociais e comunidades, promovendo a segurança jurídica e a efetividade do registro  fundiário no Estado do Pará. </w:t>
      </w:r>
    </w:p>
    <w:p w:rsidR="00000000" w:rsidDel="00000000" w:rsidP="00000000" w:rsidRDefault="00000000" w:rsidRPr="00000000" w14:paraId="0000002D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ACESSE OS SITES OFICIAIS PARA VERIFICAR ENDEREÇO, E-MAIL, TELEFONE E MAIS INFORMAÇÕES:</w:t>
      </w:r>
    </w:p>
    <w:sdt>
      <w:sdtPr>
        <w:lock w:val="contentLocked"/>
        <w:id w:val="-1406731905"/>
        <w:tag w:val="goog_rdk_0"/>
      </w:sdtPr>
      <w:sdtContent>
        <w:tbl>
          <w:tblPr>
            <w:tblStyle w:val="Table3"/>
            <w:tblW w:w="111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405"/>
            <w:gridCol w:w="4755"/>
            <w:tblGridChange w:id="0">
              <w:tblGrid>
                <w:gridCol w:w="6405"/>
                <w:gridCol w:w="4755"/>
              </w:tblGrid>
            </w:tblGridChange>
          </w:tblGrid>
          <w:tr>
            <w:trPr>
              <w:cantSplit w:val="1"/>
              <w:trHeight w:val="180" w:hRule="atLeast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Local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Site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Oficial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0">
                <w:pPr>
                  <w:spacing w:after="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ONR - RI DIGITAL - Operador Nacional do Sistema de Registro Eletrônico de Imóveis (Plataforma Oficial)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hyperlink r:id="rId7"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1155cc"/>
                      <w:sz w:val="18"/>
                      <w:szCs w:val="18"/>
                      <w:u w:val="single"/>
                      <w:rtl w:val="0"/>
                    </w:rPr>
                    <w:t xml:space="preserve">https://ridigital.org.br/</w:t>
                  </w:r>
                </w:hyperlink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spacing w:after="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SEFIN - Secretaria Municipal de Finanças de Belém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3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hyperlink r:id="rId8"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1155cc"/>
                      <w:sz w:val="18"/>
                      <w:szCs w:val="18"/>
                      <w:u w:val="single"/>
                      <w:rtl w:val="0"/>
                    </w:rPr>
                    <w:t xml:space="preserve">https://financas.belem.pa.gov.br/</w:t>
                  </w:r>
                </w:hyperlink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4">
                <w:pPr>
                  <w:spacing w:after="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CODEM - Companhia de Desenvolvimento e Administração da Área Metropolitana de Belém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hyperlink r:id="rId9"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1155cc"/>
                      <w:sz w:val="18"/>
                      <w:szCs w:val="18"/>
                      <w:u w:val="single"/>
                      <w:rtl w:val="0"/>
                    </w:rPr>
                    <w:t xml:space="preserve">https://codem.belem.pa.gov.br/</w:t>
                  </w:r>
                </w:hyperlink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spacing w:after="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Sistema de pesquisa de Atos Normativos do Conselho Nacional de Justiça tais como Regimento Interno, Resoluções, Instruções Normativas, Portarias, Provimentos, Recomendações e Enunciados. 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7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hyperlink r:id="rId10"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1155cc"/>
                      <w:sz w:val="18"/>
                      <w:szCs w:val="18"/>
                      <w:u w:val="single"/>
                      <w:rtl w:val="0"/>
                    </w:rPr>
                    <w:t xml:space="preserve">https://www.cnj.jus.br/atos_normativos/</w:t>
                  </w:r>
                </w:hyperlink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8">
                <w:pPr>
                  <w:spacing w:after="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ANOREG/PA - Associação dos Notários e Registradores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9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hyperlink r:id="rId11"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1155cc"/>
                      <w:sz w:val="18"/>
                      <w:szCs w:val="18"/>
                      <w:u w:val="single"/>
                      <w:rtl w:val="0"/>
                    </w:rPr>
                    <w:t xml:space="preserve">https://cartoriosdopara.com.br/</w:t>
                  </w:r>
                </w:hyperlink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A">
                <w:pPr>
                  <w:spacing w:after="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Lei Estadual 10.257/23: Tabelas de emolumentos/valores dos Serviços Notariais e de Registros 2026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B">
                <w:pPr>
                  <w:widowControl w:val="0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hyperlink r:id="rId12"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1155cc"/>
                      <w:sz w:val="18"/>
                      <w:szCs w:val="18"/>
                      <w:u w:val="single"/>
                      <w:rtl w:val="0"/>
                    </w:rPr>
                    <w:t xml:space="preserve">https://cartoriosdopara.com.br/emolumentos-geral/</w:t>
                  </w:r>
                </w:hyperlink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 </w:t>
                </w:r>
              </w:p>
            </w:tc>
          </w:tr>
          <w:tr>
            <w:trPr>
              <w:cantSplit w:val="1"/>
              <w:tblHeader w:val="0"/>
            </w:trPr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C">
                <w:pPr>
                  <w:keepLines w:val="1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Para mais informações </w:t>
                </w:r>
              </w:p>
              <w:p w:rsidR="00000000" w:rsidDel="00000000" w:rsidP="00000000" w:rsidRDefault="00000000" w:rsidRPr="00000000" w14:paraId="0000003D">
                <w:pPr>
                  <w:keepLines w:val="1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aponte a câmera do seu celular e acesse o site do </w:t>
                </w:r>
              </w:p>
              <w:p w:rsidR="00000000" w:rsidDel="00000000" w:rsidP="00000000" w:rsidRDefault="00000000" w:rsidRPr="00000000" w14:paraId="0000003E">
                <w:pPr>
                  <w:keepLines w:val="1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  <w:rtl w:val="0"/>
                  </w:rPr>
                  <w:t xml:space="preserve">2º Ofício de Registro de Imóveis de Belém-PA:</w:t>
                </w:r>
              </w:p>
            </w:tc>
            <w:tc>
              <w:tcPr>
                <w:shd w:fill="auto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center"/>
              </w:tcPr>
              <w:p w:rsidR="00000000" w:rsidDel="00000000" w:rsidP="00000000" w:rsidRDefault="00000000" w:rsidRPr="00000000" w14:paraId="0000003F">
                <w:pPr>
                  <w:keepLines w:val="1"/>
                  <w:spacing w:after="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0"/>
                    <w:szCs w:val="20"/>
                  </w:rPr>
                  <w:drawing>
                    <wp:inline distB="114300" distT="114300" distL="114300" distR="114300">
                      <wp:extent cx="782513" cy="790664"/>
                      <wp:effectExtent b="0" l="0" r="0" t="0"/>
                      <wp:docPr id="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82513" cy="79066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0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-333372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widowControl w:val="0"/>
      <w:spacing w:after="0" w:lineRule="auto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247036</wp:posOffset>
          </wp:positionV>
          <wp:extent cx="1514475" cy="492586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3863" l="0" r="0" t="19073"/>
                  <a:stretch>
                    <a:fillRect/>
                  </a:stretch>
                </pic:blipFill>
                <pic:spPr>
                  <a:xfrm>
                    <a:off x="0" y="0"/>
                    <a:ext cx="1514475" cy="492586"/>
                  </a:xfrm>
                  <a:prstGeom prst="rect"/>
                  <a:ln/>
                </pic:spPr>
              </pic:pic>
            </a:graphicData>
          </a:graphic>
        </wp:anchor>
      </w:drawing>
    </w:r>
  </w:p>
  <w:sdt>
    <w:sdtPr>
      <w:lock w:val="contentLocked"/>
      <w:id w:val="-1664762098"/>
      <w:tag w:val="goog_rdk_1"/>
    </w:sdtPr>
    <w:sdtContent>
      <w:tbl>
        <w:tblPr>
          <w:tblStyle w:val="Table4"/>
          <w:tblpPr w:leftFromText="180" w:rightFromText="180" w:topFromText="180" w:bottomFromText="180" w:vertAnchor="text" w:horzAnchor="text" w:tblpX="0" w:tblpY="0"/>
          <w:tblW w:w="11085.0" w:type="dxa"/>
          <w:jc w:val="left"/>
          <w:tblInd w:w="141.0" w:type="dxa"/>
          <w:tblLayout w:type="fixed"/>
          <w:tblLook w:val="0000"/>
        </w:tblPr>
        <w:tblGrid>
          <w:gridCol w:w="2550"/>
          <w:gridCol w:w="6450"/>
          <w:gridCol w:w="2085"/>
          <w:tblGridChange w:id="0">
            <w:tblGrid>
              <w:gridCol w:w="2550"/>
              <w:gridCol w:w="6450"/>
              <w:gridCol w:w="2085"/>
            </w:tblGrid>
          </w:tblGridChange>
        </w:tblGrid>
        <w:tr>
          <w:trPr>
            <w:cantSplit w:val="0"/>
            <w:trHeight w:val="435" w:hRule="atLeast"/>
            <w:tblHeader w:val="0"/>
          </w:trPr>
          <w:tc>
            <w:tcPr>
              <w:vMerge w:val="restart"/>
              <w:tcBorders>
                <w:top w:color="808080" w:space="0" w:sz="18" w:val="single"/>
                <w:left w:color="808080" w:space="0" w:sz="18" w:val="single"/>
                <w:bottom w:color="808080" w:space="0" w:sz="18" w:val="single"/>
                <w:right w:color="808080" w:space="0" w:sz="6" w:val="single"/>
              </w:tcBorders>
              <w:vAlign w:val="center"/>
            </w:tcPr>
            <w:p w:rsidR="00000000" w:rsidDel="00000000" w:rsidP="00000000" w:rsidRDefault="00000000" w:rsidRPr="00000000" w14:paraId="00000047">
              <w:pPr>
                <w:spacing w:after="0" w:line="240" w:lineRule="auto"/>
                <w:ind w:right="-5"/>
                <w:jc w:val="center"/>
                <w:rPr>
                  <w:rFonts w:ascii="Arial" w:cs="Arial" w:eastAsia="Arial" w:hAnsi="Arial"/>
                  <w:sz w:val="24"/>
                  <w:szCs w:val="24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808080" w:space="0" w:sz="18" w:val="single"/>
                <w:left w:color="808080" w:space="0" w:sz="6" w:val="single"/>
                <w:bottom w:color="808080" w:space="0" w:sz="6" w:val="single"/>
                <w:right w:color="808080" w:space="0" w:sz="6" w:val="single"/>
              </w:tcBorders>
              <w:vAlign w:val="center"/>
            </w:tcPr>
            <w:p w:rsidR="00000000" w:rsidDel="00000000" w:rsidP="00000000" w:rsidRDefault="00000000" w:rsidRPr="00000000" w14:paraId="00000048">
              <w:pPr>
                <w:spacing w:after="0" w:line="240" w:lineRule="auto"/>
                <w:jc w:val="center"/>
                <w:rPr>
                  <w:rFonts w:ascii="Arial" w:cs="Arial" w:eastAsia="Arial" w:hAnsi="Arial"/>
                  <w:b w:val="1"/>
                  <w:bCs w:val="1"/>
                </w:rPr>
              </w:pPr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rtl w:val="0"/>
                </w:rPr>
                <w:t xml:space="preserve">Manuais, Políticas e Documentos</w:t>
              </w:r>
            </w:p>
          </w:tc>
          <w:tc>
            <w:tcPr>
              <w:vMerge w:val="restart"/>
              <w:tcBorders>
                <w:top w:color="808080" w:space="0" w:sz="18" w:val="single"/>
                <w:left w:color="808080" w:space="0" w:sz="6" w:val="single"/>
                <w:bottom w:color="808080" w:space="0" w:sz="18" w:val="single"/>
                <w:right w:color="808080" w:space="0" w:sz="18" w:val="single"/>
              </w:tcBorders>
              <w:vAlign w:val="center"/>
            </w:tcPr>
            <w:p w:rsidR="00000000" w:rsidDel="00000000" w:rsidP="00000000" w:rsidRDefault="00000000" w:rsidRPr="00000000" w14:paraId="00000049">
              <w:pPr>
                <w:spacing w:after="0" w:line="240" w:lineRule="auto"/>
                <w:jc w:val="center"/>
                <w:rPr>
                  <w:rFonts w:ascii="Arial" w:cs="Arial" w:eastAsia="Arial" w:hAnsi="Arial"/>
                  <w:b w:val="1"/>
                  <w:bCs w:val="1"/>
                  <w:sz w:val="18"/>
                  <w:szCs w:val="18"/>
                </w:rPr>
              </w:pPr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z w:val="18"/>
                  <w:szCs w:val="18"/>
                  <w:rtl w:val="0"/>
                </w:rPr>
                <w:t xml:space="preserve">MPD - 025</w:t>
              </w:r>
            </w:p>
            <w:p w:rsidR="00000000" w:rsidDel="00000000" w:rsidP="00000000" w:rsidRDefault="00000000" w:rsidRPr="00000000" w14:paraId="0000004A">
              <w:pPr>
                <w:spacing w:after="0" w:line="240" w:lineRule="auto"/>
                <w:jc w:val="center"/>
                <w:rPr>
                  <w:rFonts w:ascii="Arial" w:cs="Arial" w:eastAsia="Arial" w:hAnsi="Arial"/>
                  <w:sz w:val="14"/>
                  <w:szCs w:val="14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14"/>
                  <w:szCs w:val="14"/>
                  <w:rtl w:val="0"/>
                </w:rPr>
                <w:t xml:space="preserve">Data: 10/03/2026</w:t>
              </w:r>
            </w:p>
            <w:p w:rsidR="00000000" w:rsidDel="00000000" w:rsidP="00000000" w:rsidRDefault="00000000" w:rsidRPr="00000000" w14:paraId="0000004B">
              <w:pPr>
                <w:spacing w:after="0" w:line="240" w:lineRule="auto"/>
                <w:jc w:val="center"/>
                <w:rPr>
                  <w:rFonts w:ascii="Arial" w:cs="Arial" w:eastAsia="Arial" w:hAnsi="Arial"/>
                  <w:sz w:val="14"/>
                  <w:szCs w:val="14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14"/>
                  <w:szCs w:val="14"/>
                  <w:rtl w:val="0"/>
                </w:rPr>
                <w:t xml:space="preserve">Revisão: 00</w:t>
              </w:r>
            </w:p>
            <w:p w:rsidR="00000000" w:rsidDel="00000000" w:rsidP="00000000" w:rsidRDefault="00000000" w:rsidRPr="00000000" w14:paraId="0000004C">
              <w:pPr>
                <w:spacing w:after="0" w:line="240" w:lineRule="auto"/>
                <w:jc w:val="center"/>
                <w:rPr>
                  <w:rFonts w:ascii="Arial" w:cs="Arial" w:eastAsia="Arial" w:hAnsi="Arial"/>
                  <w:sz w:val="14"/>
                  <w:szCs w:val="14"/>
                </w:rPr>
              </w:pPr>
              <w:r w:rsidDel="00000000" w:rsidR="00000000" w:rsidRPr="00000000">
                <w:rPr>
                  <w:rFonts w:ascii="Arial" w:cs="Arial" w:eastAsia="Arial" w:hAnsi="Arial"/>
                  <w:sz w:val="14"/>
                  <w:szCs w:val="14"/>
                  <w:rtl w:val="0"/>
                </w:rPr>
                <w:t xml:space="preserve">Página 1 de </w:t>
              </w:r>
              <w:r w:rsidDel="00000000" w:rsidR="00000000" w:rsidRPr="00000000">
                <w:rPr>
                  <w:rFonts w:ascii="Arial" w:cs="Arial" w:eastAsia="Arial" w:hAnsi="Arial"/>
                  <w:sz w:val="14"/>
                  <w:szCs w:val="14"/>
                </w:rPr>
                <w:fldChar w:fldCharType="begin"/>
                <w:instrText xml:space="preserve">NUMPAGES</w:instrText>
                <w:fldChar w:fldCharType="separate"/>
                <w:fldChar w:fldCharType="end"/>
              </w:r>
              <w:r w:rsidDel="00000000" w:rsidR="00000000" w:rsidRPr="00000000">
                <w:rPr>
                  <w:rtl w:val="0"/>
                </w:rPr>
              </w:r>
            </w:p>
          </w:tc>
        </w:tr>
        <w:tr>
          <w:trPr>
            <w:cantSplit w:val="0"/>
            <w:trHeight w:val="402.978515625" w:hRule="atLeast"/>
            <w:tblHeader w:val="0"/>
          </w:trPr>
          <w:tc>
            <w:tcPr>
              <w:vMerge w:val="continue"/>
              <w:tcBorders>
                <w:top w:color="808080" w:space="0" w:sz="18" w:val="single"/>
                <w:left w:color="808080" w:space="0" w:sz="18" w:val="single"/>
                <w:bottom w:color="808080" w:space="0" w:sz="18" w:val="single"/>
                <w:right w:color="808080" w:space="0" w:sz="6" w:val="single"/>
              </w:tcBorders>
              <w:vAlign w:val="center"/>
            </w:tcPr>
            <w:p w:rsidR="00000000" w:rsidDel="00000000" w:rsidP="00000000" w:rsidRDefault="00000000" w:rsidRPr="00000000" w14:paraId="0000004D">
              <w:pPr>
                <w:widowControl w:val="0"/>
                <w:spacing w:after="0" w:line="276" w:lineRule="auto"/>
                <w:rPr>
                  <w:rFonts w:ascii="Arial" w:cs="Arial" w:eastAsia="Arial" w:hAnsi="Arial"/>
                  <w:sz w:val="20"/>
                  <w:szCs w:val="20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808080" w:space="0" w:sz="6" w:val="single"/>
                <w:left w:color="808080" w:space="0" w:sz="6" w:val="single"/>
                <w:bottom w:color="808080" w:space="0" w:sz="18" w:val="single"/>
                <w:right w:color="808080" w:space="0" w:sz="6" w:val="single"/>
              </w:tcBorders>
              <w:vAlign w:val="center"/>
            </w:tcPr>
            <w:p w:rsidR="00000000" w:rsidDel="00000000" w:rsidP="00000000" w:rsidRDefault="00000000" w:rsidRPr="00000000" w14:paraId="0000004E">
              <w:pPr>
                <w:spacing w:after="0" w:line="240" w:lineRule="auto"/>
                <w:jc w:val="center"/>
                <w:rPr>
                  <w:rFonts w:ascii="Arial" w:cs="Arial" w:eastAsia="Arial" w:hAnsi="Arial"/>
                  <w:b w:val="1"/>
                  <w:bCs w:val="1"/>
                  <w:smallCaps w:val="1"/>
                </w:rPr>
              </w:pPr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smallCaps w:val="1"/>
                  <w:rtl w:val="0"/>
                </w:rPr>
                <w:t xml:space="preserve">DOCUMENTOS PARA O CLIENTE</w:t>
              </w:r>
            </w:p>
          </w:tc>
          <w:tc>
            <w:tcPr>
              <w:vMerge w:val="continue"/>
              <w:tcBorders>
                <w:top w:color="808080" w:space="0" w:sz="18" w:val="single"/>
                <w:left w:color="808080" w:space="0" w:sz="6" w:val="single"/>
                <w:bottom w:color="808080" w:space="0" w:sz="18" w:val="single"/>
                <w:right w:color="808080" w:space="0" w:sz="18" w:val="single"/>
              </w:tcBorders>
              <w:vAlign w:val="center"/>
            </w:tcPr>
            <w:p w:rsidR="00000000" w:rsidDel="00000000" w:rsidP="00000000" w:rsidRDefault="00000000" w:rsidRPr="00000000" w14:paraId="0000004F">
              <w:pPr>
                <w:widowControl w:val="0"/>
                <w:spacing w:after="0" w:line="276" w:lineRule="auto"/>
                <w:rPr>
                  <w:rFonts w:ascii="Arial" w:cs="Arial" w:eastAsia="Arial" w:hAnsi="Arial"/>
                  <w:b w:val="1"/>
                  <w:bCs w:val="1"/>
                  <w:smallCaps w:val="1"/>
                  <w:sz w:val="28"/>
                  <w:szCs w:val="28"/>
                </w:rPr>
              </w:pP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50">
    <w:pPr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artoriosdopara.com.br/" TargetMode="External"/><Relationship Id="rId10" Type="http://schemas.openxmlformats.org/officeDocument/2006/relationships/hyperlink" Target="https://www.cnj.jus.br/atos_normativos/" TargetMode="External"/><Relationship Id="rId13" Type="http://schemas.openxmlformats.org/officeDocument/2006/relationships/image" Target="media/image3.png"/><Relationship Id="rId12" Type="http://schemas.openxmlformats.org/officeDocument/2006/relationships/hyperlink" Target="https://cartoriosdopara.com.br/emolumentos-geral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dem.belem.pa.gov.br/" TargetMode="External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ridigital.org.br/" TargetMode="External"/><Relationship Id="rId8" Type="http://schemas.openxmlformats.org/officeDocument/2006/relationships/hyperlink" Target="https://financas.belem.pa.gov.br/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v+VdBHtI07C5cAWkuttPu35ANQ==">CgMxLjAaHwoBMBIaChgICVIUChJ0YWJsZS53bDBzbzVucDE1N3EaHwoBMRIaChgICVIUChJ0YWJsZS41eTA1cmY2bDcxZGcyDmguNDFlNmZkZ3VvaDdrOAByITFLeEptcXZ5M3FOODRqa2NiM2l3Z2pOMGQ0bXdPOG95Sg==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