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spacing w:after="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spacing w:after="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tabs>
                <w:tab w:val="center" w:leader="none" w:pos="4252"/>
                <w:tab w:val="right" w:leader="none" w:pos="8504"/>
              </w:tabs>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tabs>
                <w:tab w:val="center" w:leader="none" w:pos="4252"/>
                <w:tab w:val="right" w:leader="none" w:pos="8504"/>
              </w:tabs>
              <w:spacing w:after="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bookmarkStart w:colFirst="0" w:colLast="0" w:name="_heading=h.1ooxzudzg4n" w:id="0"/>
      <w:bookmarkEnd w:id="0"/>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CANCELAMENTO DE CLÁUSULAS DE INALIENABILIDADE, INCOMUNICABILIDADE E IMPENHORABILIDADE</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250, DA LEI Nº 6.015/73 (LEI DE REGISTROS PÚBLICOS);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sz w:val="18"/>
          <w:szCs w:val="18"/>
          <w:rtl w:val="0"/>
        </w:rPr>
        <w:t xml:space="preserve">Este checklist tem o objetivo de orientar o cliente sobre os documentos necessários para o pedido de cancelamento de cláusulas de inalienabilidade, incomunicabilidade e impenhorabilidade, a fim de noticiar o cancelamento das cláusulas para que seus efeitos legais cessem, na forma como alude o art. 252, da Lei n° 6.015/73. Marque os itens já providenciados e utilize as observações para saber onde e como obter cada documento.</w:t>
      </w:r>
      <w:r w:rsidDel="00000000" w:rsidR="00000000" w:rsidRPr="00000000">
        <w:rPr>
          <w:rtl w:val="0"/>
        </w:rPr>
      </w:r>
    </w:p>
    <w:tbl>
      <w:tblPr>
        <w:tblStyle w:val="Table2"/>
        <w:tblW w:w="11550.0" w:type="dxa"/>
        <w:jc w:val="left"/>
        <w:tblInd w:w="-62.0078740157481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45"/>
        <w:gridCol w:w="5805"/>
        <w:tblGridChange w:id="0">
          <w:tblGrid>
            <w:gridCol w:w="5745"/>
            <w:gridCol w:w="5805"/>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rHeight w:val="200" w:hRule="atLeast"/>
          <w:tblHeader w:val="0"/>
        </w:trPr>
        <w:tc>
          <w:tcPr>
            <w:gridSpan w:val="2"/>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QUANDO O DOADOR E DONATÁRIO ESTIVEREM VIVOS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(original) lavrada por Tabelião de Notas à escolha dos interessados, contendo a manifestação de vontade do doador (transmitente) em revogar as cláusulas, com expressa anuência do donatário (adquirente)</w:t>
            </w:r>
          </w:p>
          <w:p w:rsidR="00000000" w:rsidDel="00000000" w:rsidP="00000000" w:rsidRDefault="00000000" w:rsidRPr="00000000" w14:paraId="00000018">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aquiescência do donatário apresenta-se como medida imperiosa, sob pena de nulidade do ato praticado unilateralmente.</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renúncia, a exemplo do ato em que constituído o ônus (testamento ou escritura de doação), deverá ser formalizada por instrumento público adequado, sendo válida a afirmação contida no art. 472 do Código Civil, segundo a qual o distrato se faz pela mesma forma do contrato quando exigida para a validade deste, não se podendo utilizar o disposto no art. 250, II, da Lei 6.015/73, já que nem todos os atos bilaterais de manifestação de vontade podem ser desfeitos a requerimento (instrumento particular) das partes contratantes.</w:t>
            </w:r>
          </w:p>
        </w:tc>
      </w:tr>
      <w:tr>
        <w:trPr>
          <w:cantSplit w:val="1"/>
          <w:trHeight w:val="200" w:hRule="atLeast"/>
          <w:tblHeader w:val="0"/>
        </w:trPr>
        <w:tc>
          <w:tcPr>
            <w:gridSpan w:val="2"/>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QUANDO APENAS O DONATÁRIO OU LEGATÁRIO ESTIVER VIVO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D">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Mandado judicial de cancelamento das cláusulas (original ou cópia autenticada pela vara), transitado em julgado.</w:t>
            </w:r>
          </w:p>
          <w:p w:rsidR="00000000" w:rsidDel="00000000" w:rsidP="00000000" w:rsidRDefault="00000000" w:rsidRPr="00000000" w14:paraId="0000001E">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50, I, da Lei nº 6.015/73</w:t>
            </w:r>
            <w:r w:rsidDel="00000000" w:rsidR="00000000" w:rsidRPr="00000000">
              <w:rPr>
                <w:rtl w:val="0"/>
              </w:rPr>
            </w:r>
          </w:p>
          <w:p w:rsidR="00000000" w:rsidDel="00000000" w:rsidP="00000000" w:rsidRDefault="00000000" w:rsidRPr="00000000" w14:paraId="0000001F">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for concedido o benefício da justiça gratuita, deverá ser apresentada a decisão.</w:t>
            </w:r>
          </w:p>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se tratando de títulos/documentos enviados via Sistema de Processo Judicial Eletrônico não será necessário sua autenticação.</w:t>
            </w:r>
            <w:r w:rsidDel="00000000" w:rsidR="00000000" w:rsidRPr="00000000">
              <w:rPr>
                <w:rtl w:val="0"/>
              </w:rPr>
            </w:r>
          </w:p>
        </w:tc>
      </w:tr>
      <w:tr>
        <w:trPr>
          <w:cantSplit w:val="1"/>
          <w:trHeight w:val="200" w:hRule="atLeast"/>
          <w:tblHeader w:val="0"/>
        </w:trPr>
        <w:tc>
          <w:tcPr>
            <w:gridSpan w:val="2"/>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QUANDO O DONATÁRIO OU LEGATÁRIO FOR FALECIDO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do interessado, em que conste a indicação do número da matrícula/transcrição do imóvel na qual se pretende realizar o ato, bem como a solicitação de averbação do cancelamento das cláusulas informar quais) em decorrência do falecimento do donatário/legatário.</w:t>
            </w:r>
          </w:p>
          <w:p w:rsidR="00000000" w:rsidDel="00000000" w:rsidP="00000000" w:rsidRDefault="00000000" w:rsidRPr="00000000" w14:paraId="00000026">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250, III, da Lei nº 6.015/73</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qualificação dos requerentes deverá ser completa, de acordo com o disposto no Provimento 61/2017, do CNJ.</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requerimento for assinado por procurador, devem ser anexados os documentos (originais ou cópias autenticadas) necessários à comprovação dos poderes de representação.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óbito (original ou cópia autenticada) do donatário/legatário falecido.</w:t>
            </w:r>
          </w:p>
          <w:p w:rsidR="00000000" w:rsidDel="00000000" w:rsidP="00000000" w:rsidRDefault="00000000" w:rsidRPr="00000000" w14:paraId="0000002A">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RG, CPF, profissão, endereço e estado civil. Se for casado(a), também deve constar a qualificação completa do cônjuge e o regime de bens do casamento.</w:t>
            </w:r>
          </w:p>
          <w:p w:rsidR="00000000" w:rsidDel="00000000" w:rsidP="00000000" w:rsidRDefault="00000000" w:rsidRPr="00000000" w14:paraId="0000002C">
            <w:pPr>
              <w:spacing w:after="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D">
            <w:pPr>
              <w:spacing w:after="0" w:lineRule="auto"/>
              <w:jc w:val="both"/>
              <w:rPr>
                <w:rFonts w:ascii="Arial" w:cs="Arial" w:eastAsia="Arial" w:hAnsi="Arial"/>
                <w:sz w:val="20"/>
                <w:szCs w:val="20"/>
              </w:rPr>
            </w:pPr>
            <w:r w:rsidDel="00000000" w:rsidR="00000000" w:rsidRPr="00000000">
              <w:rPr>
                <w:rtl w:val="0"/>
              </w:rPr>
            </w:r>
          </w:p>
        </w:tc>
      </w:tr>
      <w:tr>
        <w:trPr>
          <w:cantSplit w:val="1"/>
          <w:trHeight w:val="200" w:hRule="atLeast"/>
          <w:tblHeader w:val="0"/>
        </w:trPr>
        <w:tc>
          <w:tcPr>
            <w:gridSpan w:val="2"/>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QUANDO O IMÓVEL ESTIVER GRAVADO COM AS CLÁUSULAS DE INCOMUNICABILIDADE E IMPENHORABILIDADE E FOI TRANSMITIDO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do interessado, em que conste a indicação do número da matrícula/transcrição do imóvel na qual pretende realizar o ato, bem como a solicitação de averbação do cancelamento das cláusulas (informar quais) em decorrência da transmissão do imóvel.</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252, da Lei nº 6.015/73.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qualificação dos requerentes deverá ser completa, de acordo com o disposto no Provimento 61/2017, do CNJ.</w:t>
            </w:r>
          </w:p>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requerimento for assinado por procurador, devem ser anexados os documentos (originais ou cópias autenticadas) necessários à comprovação dos poderes de representação.</w:t>
            </w:r>
          </w:p>
          <w:p w:rsidR="00000000" w:rsidDel="00000000" w:rsidP="00000000" w:rsidRDefault="00000000" w:rsidRPr="00000000" w14:paraId="0000003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cláusula de inalienabilidade só poderá ser cancelada por requerimento (em caso de transmissão) se o transmitente não for a pessoa a quem foi imposta a cláusula.</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6">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7">
            <w:pPr>
              <w:spacing w:after="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30 dias expedida pelo cartório de origem. Ela pode ser solicitada no próprio cartório de registro de imóveis presencialmente ou pelo site </w:t>
            </w:r>
            <w:hyperlink r:id="rId7">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bl>
    <w:p w:rsidR="00000000" w:rsidDel="00000000" w:rsidP="00000000" w:rsidRDefault="00000000" w:rsidRPr="00000000" w14:paraId="0000003A">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3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3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3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3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imposição destas cláusulas restritivas está prevista no Código Civil e é uma restrição ao direito de propriedade e à liberdade individual. As referidas cláusulas poderão ser impostas através de escritura pública de doação ou através de testamento público.</w:t>
      </w:r>
    </w:p>
    <w:p w:rsidR="00000000" w:rsidDel="00000000" w:rsidP="00000000" w:rsidRDefault="00000000" w:rsidRPr="00000000" w14:paraId="0000003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4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 6.015/1973).</w:t>
      </w:r>
    </w:p>
    <w:p w:rsidR="00000000" w:rsidDel="00000000" w:rsidP="00000000" w:rsidRDefault="00000000" w:rsidRPr="00000000" w14:paraId="0000004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1769925268"/>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2">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43">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w:t>
                </w:r>
                <w:r w:rsidDel="00000000" w:rsidR="00000000" w:rsidRPr="00000000">
                  <w:rPr>
                    <w:rFonts w:ascii="Arial" w:cs="Arial" w:eastAsia="Arial" w:hAnsi="Arial"/>
                    <w:b w:val="1"/>
                    <w:bCs w:val="1"/>
                    <w:sz w:val="18"/>
                    <w:szCs w:val="18"/>
                    <w:rtl w:val="0"/>
                  </w:rPr>
                  <w:t xml:space="preserve">Oficial</w:t>
                </w:r>
                <w:r w:rsidDel="00000000" w:rsidR="00000000" w:rsidRPr="00000000">
                  <w:rPr>
                    <w:rtl w:val="0"/>
                  </w:rPr>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4">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45">
                <w:pPr>
                  <w:widowControl w:val="0"/>
                  <w:spacing w:after="0" w:line="240" w:lineRule="auto"/>
                  <w:jc w:val="center"/>
                  <w:rPr>
                    <w:rFonts w:ascii="Arial" w:cs="Arial" w:eastAsia="Arial" w:hAnsi="Arial"/>
                    <w:b w:val="1"/>
                    <w:bCs w:val="1"/>
                    <w:sz w:val="18"/>
                    <w:szCs w:val="18"/>
                  </w:rPr>
                </w:pPr>
                <w:hyperlink r:id="rId8">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6">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47">
                <w:pPr>
                  <w:widowControl w:val="0"/>
                  <w:spacing w:after="0" w:line="240" w:lineRule="auto"/>
                  <w:jc w:val="center"/>
                  <w:rPr>
                    <w:rFonts w:ascii="Arial" w:cs="Arial" w:eastAsia="Arial" w:hAnsi="Arial"/>
                    <w:b w:val="1"/>
                    <w:bCs w:val="1"/>
                    <w:sz w:val="18"/>
                    <w:szCs w:val="18"/>
                  </w:rPr>
                </w:pPr>
                <w:hyperlink r:id="rId9">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8">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49">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A">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4B">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C">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4D">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E">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4F">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0">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51">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52">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53">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7"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54">
      <w:pPr>
        <w:jc w:val="both"/>
        <w:rPr>
          <w:rFonts w:ascii="Arial" w:cs="Arial" w:eastAsia="Arial" w:hAnsi="Arial"/>
          <w:sz w:val="20"/>
          <w:szCs w:val="20"/>
        </w:rPr>
      </w:pPr>
      <w:r w:rsidDel="00000000" w:rsidR="00000000" w:rsidRPr="00000000">
        <w:rPr>
          <w:rtl w:val="0"/>
        </w:rPr>
      </w:r>
    </w:p>
    <w:sectPr>
      <w:headerReference r:id="rId15" w:type="default"/>
      <w:footerReference r:id="rId16"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-333373</wp:posOffset>
          </wp:positionH>
          <wp:positionV relativeFrom="paragraph">
            <wp:posOffset>114300</wp:posOffset>
          </wp:positionV>
          <wp:extent cx="7850063" cy="432378"/>
          <wp:effectExtent b="0" l="0" r="0" t="0"/>
          <wp:wrapNone/>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247036</wp:posOffset>
          </wp:positionV>
          <wp:extent cx="1514475" cy="492586"/>
          <wp:effectExtent b="0" l="0" r="0" t="0"/>
          <wp:wrapNone/>
          <wp:docPr id="5" name="image3.png"/>
          <a:graphic>
            <a:graphicData uri="http://schemas.openxmlformats.org/drawingml/2006/picture">
              <pic:pic>
                <pic:nvPicPr>
                  <pic:cNvPr id="0" name="image3.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798514512"/>
      <w:tag w:val="goog_rdk_1"/>
    </w:sdtPr>
    <w:sdtContent>
      <w:tbl>
        <w:tblPr>
          <w:tblStyle w:val="Table4"/>
          <w:tblpPr w:leftFromText="180" w:rightFromText="180" w:topFromText="180" w:bottomFromText="180" w:vertAnchor="text" w:horzAnchor="text" w:tblpX="0"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56">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57">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58">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59">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5A">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5B">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5C">
              <w:pPr>
                <w:widowControl w:val="0"/>
                <w:spacing w:after="0" w:line="276" w:lineRule="auto"/>
                <w:rPr>
                  <w:rFonts w:ascii="Arial" w:cs="Arial" w:eastAsia="Arial" w:hAnsi="Arial"/>
                  <w:sz w:val="20"/>
                  <w:szCs w:val="20"/>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5D">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5E">
              <w:pPr>
                <w:widowControl w:val="0"/>
                <w:spacing w:after="0" w:line="276" w:lineRule="auto"/>
                <w:rPr>
                  <w:rFonts w:ascii="Arial" w:cs="Arial" w:eastAsia="Arial" w:hAnsi="Arial"/>
                  <w:b w:val="1"/>
                  <w:bCs w:val="1"/>
                  <w:smallCaps w:val="1"/>
                  <w:sz w:val="28"/>
                  <w:szCs w:val="28"/>
                </w:rPr>
              </w:pPr>
              <w:r w:rsidDel="00000000" w:rsidR="00000000" w:rsidRPr="00000000">
                <w:rPr>
                  <w:rtl w:val="0"/>
                </w:rPr>
              </w:r>
            </w:p>
          </w:tc>
        </w:tr>
      </w:tbl>
    </w:sdtContent>
  </w:sdt>
  <w:p w:rsidR="00000000" w:rsidDel="00000000" w:rsidP="00000000" w:rsidRDefault="00000000" w:rsidRPr="00000000" w14:paraId="0000005F">
    <w:pPr>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cnj.jus.br/atos_normativos/" TargetMode="External"/><Relationship Id="rId10" Type="http://schemas.openxmlformats.org/officeDocument/2006/relationships/hyperlink" Target="https://codem.belem.pa.gov.br/" TargetMode="External"/><Relationship Id="rId13" Type="http://schemas.openxmlformats.org/officeDocument/2006/relationships/hyperlink" Target="https://cartoriosdopara.com.br/emolumentos-geral/" TargetMode="External"/><Relationship Id="rId12" Type="http://schemas.openxmlformats.org/officeDocument/2006/relationships/hyperlink" Target="https://cartoriosdopara.com.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inancas.belem.pa.gov.br/" TargetMode="External"/><Relationship Id="rId15" Type="http://schemas.openxmlformats.org/officeDocument/2006/relationships/header" Target="header1.xml"/><Relationship Id="rId14" Type="http://schemas.openxmlformats.org/officeDocument/2006/relationships/image" Target="media/image2.png"/><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ridigital.org.br" TargetMode="External"/><Relationship Id="rId8" Type="http://schemas.openxmlformats.org/officeDocument/2006/relationships/hyperlink" Target="https://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FZqa8CrPswHdabP22F13UOABrg==">CgMxLjAaHwoBMBIaChgICVIUChJ0YWJsZS53bDBzbzVucDE1N3EaHwoBMRIaChgICVIUChJ0YWJsZS41eTA1cmY2bDcxZGcyDWguMW9veHp1ZHpnNG44AHIhMVhkMkIyck54NmpCa3ZpYjJOUGZBNldpRGRsVlBHdU5q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